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11533" w14:textId="77777777" w:rsidR="00A43121" w:rsidRPr="00FA158C" w:rsidRDefault="00A43121" w:rsidP="00A43121">
      <w:pPr>
        <w:jc w:val="both"/>
        <w:rPr>
          <w:lang w:val="fr-FR"/>
        </w:rPr>
      </w:pPr>
      <w:proofErr w:type="spellStart"/>
      <w:r w:rsidRPr="00A43121">
        <w:rPr>
          <w:b/>
          <w:lang w:val="fr-FR"/>
        </w:rPr>
        <w:t>Subject</w:t>
      </w:r>
      <w:proofErr w:type="spellEnd"/>
      <w:r w:rsidRPr="00A43121">
        <w:rPr>
          <w:b/>
          <w:lang w:val="fr-FR"/>
        </w:rPr>
        <w:t>:</w:t>
      </w:r>
      <w:r w:rsidRPr="00A43121">
        <w:rPr>
          <w:lang w:val="fr-FR"/>
        </w:rPr>
        <w:t xml:space="preserve"> </w:t>
      </w:r>
      <w:proofErr w:type="spellStart"/>
      <w:r w:rsidR="007641F3" w:rsidRPr="00A43121">
        <w:rPr>
          <w:lang w:val="fr-FR"/>
        </w:rPr>
        <w:t>Wijzigingen</w:t>
      </w:r>
      <w:proofErr w:type="spellEnd"/>
      <w:r w:rsidR="007641F3" w:rsidRPr="00A43121">
        <w:rPr>
          <w:lang w:val="fr-FR"/>
        </w:rPr>
        <w:t xml:space="preserve"> </w:t>
      </w:r>
      <w:proofErr w:type="spellStart"/>
      <w:r w:rsidR="007641F3" w:rsidRPr="00A43121">
        <w:rPr>
          <w:lang w:val="fr-FR"/>
        </w:rPr>
        <w:t>bepaling</w:t>
      </w:r>
      <w:proofErr w:type="spellEnd"/>
      <w:r w:rsidR="007641F3" w:rsidRPr="00A43121">
        <w:rPr>
          <w:lang w:val="fr-FR"/>
        </w:rPr>
        <w:t xml:space="preserve"> en </w:t>
      </w:r>
      <w:proofErr w:type="spellStart"/>
      <w:r w:rsidR="007641F3" w:rsidRPr="00A43121">
        <w:rPr>
          <w:lang w:val="fr-FR"/>
        </w:rPr>
        <w:t>facturatie</w:t>
      </w:r>
      <w:proofErr w:type="spellEnd"/>
      <w:r w:rsidR="007641F3" w:rsidRPr="00A43121">
        <w:rPr>
          <w:lang w:val="fr-FR"/>
        </w:rPr>
        <w:t xml:space="preserve"> </w:t>
      </w:r>
      <w:proofErr w:type="spellStart"/>
      <w:r w:rsidR="007641F3" w:rsidRPr="00A43121">
        <w:rPr>
          <w:lang w:val="fr-FR"/>
        </w:rPr>
        <w:t>diabetes</w:t>
      </w:r>
      <w:proofErr w:type="spellEnd"/>
      <w:r w:rsidR="00DC157F" w:rsidRPr="00A43121">
        <w:rPr>
          <w:lang w:val="fr-FR"/>
        </w:rPr>
        <w:t xml:space="preserve"> analyses</w:t>
      </w:r>
      <w:r w:rsidR="001313C2">
        <w:rPr>
          <w:lang w:val="fr-FR"/>
        </w:rPr>
        <w:t xml:space="preserve"> </w:t>
      </w:r>
      <w:r w:rsidRPr="00A43121">
        <w:rPr>
          <w:lang w:val="fr-FR"/>
        </w:rPr>
        <w:t xml:space="preserve">/ </w:t>
      </w:r>
      <w:r w:rsidRPr="00FA158C">
        <w:rPr>
          <w:lang w:val="fr-FR"/>
        </w:rPr>
        <w:t xml:space="preserve">Changement de méthode et de facturation des analyses dans le domaine du diabète </w:t>
      </w:r>
    </w:p>
    <w:p w14:paraId="25B6FCFA" w14:textId="77777777" w:rsidR="00A43121" w:rsidRPr="00A43121" w:rsidRDefault="00A43121" w:rsidP="000E4DE7">
      <w:pPr>
        <w:jc w:val="both"/>
        <w:rPr>
          <w:lang w:val="fr-FR"/>
        </w:rPr>
      </w:pPr>
    </w:p>
    <w:p w14:paraId="7813C62E" w14:textId="77777777" w:rsidR="00DC157F" w:rsidRPr="00DC157F" w:rsidRDefault="00DC157F" w:rsidP="000E4DE7">
      <w:pPr>
        <w:jc w:val="both"/>
        <w:rPr>
          <w:lang w:val="fr-FR"/>
        </w:rPr>
      </w:pPr>
      <w:r>
        <w:rPr>
          <w:lang w:val="fr-FR"/>
        </w:rPr>
        <w:t>(version en français ci-dessous)</w:t>
      </w:r>
    </w:p>
    <w:p w14:paraId="29A6B7DE" w14:textId="77777777" w:rsidR="007641F3" w:rsidRPr="00DC157F" w:rsidRDefault="007641F3" w:rsidP="000E4DE7">
      <w:pPr>
        <w:jc w:val="both"/>
        <w:rPr>
          <w:lang w:val="fr-FR"/>
        </w:rPr>
      </w:pPr>
    </w:p>
    <w:p w14:paraId="7BE87B83" w14:textId="77777777" w:rsidR="00CB08AE" w:rsidRPr="00CB08AE" w:rsidRDefault="00CB08AE" w:rsidP="000E4DE7">
      <w:pPr>
        <w:jc w:val="both"/>
        <w:rPr>
          <w:b/>
        </w:rPr>
      </w:pPr>
      <w:r w:rsidRPr="00CB08AE">
        <w:rPr>
          <w:b/>
        </w:rPr>
        <w:t>1. Nieuwe methodes</w:t>
      </w:r>
    </w:p>
    <w:p w14:paraId="20D755D1" w14:textId="77777777" w:rsidR="007641F3" w:rsidRDefault="007641F3" w:rsidP="000E4DE7">
      <w:pPr>
        <w:jc w:val="both"/>
      </w:pPr>
      <w:r>
        <w:t xml:space="preserve">Vanaf </w:t>
      </w:r>
      <w:r w:rsidR="00E46F76">
        <w:rPr>
          <w:u w:val="single"/>
        </w:rPr>
        <w:t>2 oktober</w:t>
      </w:r>
      <w:r w:rsidRPr="008225D0">
        <w:rPr>
          <w:u w:val="single"/>
        </w:rPr>
        <w:t xml:space="preserve"> 2023</w:t>
      </w:r>
      <w:r>
        <w:t xml:space="preserve"> zullen de bepalingen van </w:t>
      </w:r>
      <w:proofErr w:type="spellStart"/>
      <w:r>
        <w:t>glutamaat</w:t>
      </w:r>
      <w:proofErr w:type="spellEnd"/>
      <w:r>
        <w:t xml:space="preserve"> </w:t>
      </w:r>
      <w:proofErr w:type="spellStart"/>
      <w:r>
        <w:t>decarboxylase</w:t>
      </w:r>
      <w:proofErr w:type="spellEnd"/>
      <w:r>
        <w:t xml:space="preserve"> antilichamen (GADA), IA2-antilichamen (IA-2A) en zink </w:t>
      </w:r>
      <w:proofErr w:type="spellStart"/>
      <w:r>
        <w:t>transporter</w:t>
      </w:r>
      <w:proofErr w:type="spellEnd"/>
      <w:r>
        <w:t xml:space="preserve"> 8 antilichamen (ZnT8A) met een nieuwe methode gebeuren. Deze </w:t>
      </w:r>
      <w:r w:rsidR="000E4DE7">
        <w:t xml:space="preserve">nieuwe </w:t>
      </w:r>
      <w:r>
        <w:t xml:space="preserve">methode presteert zeer goed – en </w:t>
      </w:r>
      <w:r w:rsidR="00CB08AE">
        <w:t xml:space="preserve">voor GADA en ZnT8A </w:t>
      </w:r>
      <w:r>
        <w:t>zelf</w:t>
      </w:r>
      <w:r w:rsidR="00CB08AE">
        <w:t>s</w:t>
      </w:r>
      <w:r>
        <w:t xml:space="preserve"> beter dan onze huidige state-of-</w:t>
      </w:r>
      <w:proofErr w:type="spellStart"/>
      <w:r>
        <w:t>the</w:t>
      </w:r>
      <w:proofErr w:type="spellEnd"/>
      <w:r>
        <w:t>-art radio-</w:t>
      </w:r>
      <w:proofErr w:type="spellStart"/>
      <w:r>
        <w:t>immunoassay</w:t>
      </w:r>
      <w:proofErr w:type="spellEnd"/>
      <w:r>
        <w:t xml:space="preserve"> – in het </w:t>
      </w:r>
      <w:proofErr w:type="spellStart"/>
      <w:r w:rsidRPr="007641F3">
        <w:t>Islet</w:t>
      </w:r>
      <w:proofErr w:type="spellEnd"/>
      <w:r w:rsidRPr="007641F3">
        <w:t xml:space="preserve"> </w:t>
      </w:r>
      <w:proofErr w:type="spellStart"/>
      <w:r w:rsidRPr="007641F3">
        <w:t>Autoantibody</w:t>
      </w:r>
      <w:proofErr w:type="spellEnd"/>
      <w:r w:rsidRPr="007641F3">
        <w:t xml:space="preserve"> </w:t>
      </w:r>
      <w:proofErr w:type="spellStart"/>
      <w:r w:rsidRPr="007641F3">
        <w:t>Standardization</w:t>
      </w:r>
      <w:proofErr w:type="spellEnd"/>
      <w:r w:rsidRPr="007641F3">
        <w:t xml:space="preserve"> Program (IASP)</w:t>
      </w:r>
      <w:r>
        <w:t xml:space="preserve">. </w:t>
      </w:r>
      <w:r w:rsidR="000E4DE7">
        <w:t xml:space="preserve">Dit consortium wil de </w:t>
      </w:r>
      <w:proofErr w:type="spellStart"/>
      <w:r w:rsidR="000E4DE7">
        <w:t>performantie</w:t>
      </w:r>
      <w:proofErr w:type="spellEnd"/>
      <w:r w:rsidR="000E4DE7">
        <w:t xml:space="preserve"> verbeteren van</w:t>
      </w:r>
      <w:bookmarkStart w:id="0" w:name="_GoBack"/>
      <w:bookmarkEnd w:id="0"/>
      <w:r w:rsidR="000E4DE7">
        <w:t xml:space="preserve"> </w:t>
      </w:r>
      <w:proofErr w:type="spellStart"/>
      <w:r w:rsidR="000E4DE7">
        <w:t>immunoassays</w:t>
      </w:r>
      <w:proofErr w:type="spellEnd"/>
      <w:r w:rsidR="000E4DE7">
        <w:t xml:space="preserve"> voor de bepaling van diabetes-geassocieerde autoantilichamen en streeft ook naar standaardisatie van deze bepalingen. IASP organiseert daarvoor internationale </w:t>
      </w:r>
      <w:proofErr w:type="spellStart"/>
      <w:r w:rsidR="000E4DE7">
        <w:t>inter</w:t>
      </w:r>
      <w:proofErr w:type="spellEnd"/>
      <w:r w:rsidR="000E4DE7">
        <w:t xml:space="preserve">-laboratorium vergelijkingen waarbij geblindeerde serumstalen van patiënten (n = 50) en controles (n = 100) worden verdeeld en centraal verwerkt. Elk labo krijgt zijn resultaten van sensitiviteit en specificiteit voor de verschillende parameters, </w:t>
      </w:r>
      <w:r w:rsidR="00DC051D">
        <w:t xml:space="preserve">en dit </w:t>
      </w:r>
      <w:r w:rsidR="000E4DE7">
        <w:t>in vergelijking met de andere deelnemende laboratoria.</w:t>
      </w:r>
      <w:r w:rsidR="00DC051D">
        <w:t xml:space="preserve"> Ons laboratorium presteert zeer goed in dit programma, en we willen dit zo behouden.</w:t>
      </w:r>
      <w:r w:rsidR="00A43121">
        <w:t xml:space="preserve"> </w:t>
      </w:r>
      <w:r w:rsidR="00A43121" w:rsidRPr="00A43121">
        <w:t xml:space="preserve">Het is hierbij belangrijk om aan te geven dat verschillende </w:t>
      </w:r>
      <w:proofErr w:type="spellStart"/>
      <w:r w:rsidR="00A43121" w:rsidRPr="00A43121">
        <w:t>ELISA’s</w:t>
      </w:r>
      <w:proofErr w:type="spellEnd"/>
      <w:r w:rsidR="00A43121" w:rsidRPr="00A43121">
        <w:t xml:space="preserve"> op de markt een onvoldoende sensitiviteit en specificiteit vertonen.</w:t>
      </w:r>
    </w:p>
    <w:p w14:paraId="0003E4E8" w14:textId="77777777" w:rsidR="00DC157F" w:rsidRDefault="00DC157F" w:rsidP="000E4DE7">
      <w:pPr>
        <w:jc w:val="both"/>
      </w:pPr>
    </w:p>
    <w:p w14:paraId="307151AD" w14:textId="77777777" w:rsidR="007641F3" w:rsidRDefault="000E4DE7" w:rsidP="000E4DE7">
      <w:pPr>
        <w:jc w:val="both"/>
      </w:pPr>
      <w:r>
        <w:t>Vergelijking sensitiviteit en specificiteit voor de huidige en nieuwe methodes</w:t>
      </w:r>
      <w:r w:rsidR="00F513B3">
        <w:t xml:space="preserve"> (IASP 2023)</w:t>
      </w:r>
    </w:p>
    <w:tbl>
      <w:tblPr>
        <w:tblStyle w:val="Tabelraster"/>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1812"/>
        <w:gridCol w:w="1812"/>
        <w:gridCol w:w="1812"/>
        <w:gridCol w:w="1813"/>
        <w:gridCol w:w="1813"/>
      </w:tblGrid>
      <w:tr w:rsidR="00F513B3" w14:paraId="50EFFD05" w14:textId="77777777" w:rsidTr="008225D0">
        <w:tc>
          <w:tcPr>
            <w:tcW w:w="1812" w:type="dxa"/>
          </w:tcPr>
          <w:p w14:paraId="065738F0" w14:textId="77777777" w:rsidR="00F513B3" w:rsidRPr="00EE0814" w:rsidRDefault="00EE0814" w:rsidP="000E4DE7">
            <w:pPr>
              <w:jc w:val="both"/>
              <w:rPr>
                <w:b/>
              </w:rPr>
            </w:pPr>
            <w:r w:rsidRPr="00EE0814">
              <w:rPr>
                <w:b/>
              </w:rPr>
              <w:t>Merker</w:t>
            </w:r>
          </w:p>
        </w:tc>
        <w:tc>
          <w:tcPr>
            <w:tcW w:w="3624" w:type="dxa"/>
            <w:gridSpan w:val="2"/>
            <w:vAlign w:val="center"/>
          </w:tcPr>
          <w:p w14:paraId="5B2FFD61" w14:textId="77777777" w:rsidR="00F513B3" w:rsidRPr="008225D0" w:rsidRDefault="00F513B3" w:rsidP="00F513B3">
            <w:pPr>
              <w:jc w:val="center"/>
              <w:rPr>
                <w:b/>
              </w:rPr>
            </w:pPr>
            <w:r w:rsidRPr="008225D0">
              <w:rPr>
                <w:b/>
              </w:rPr>
              <w:t>Oude methode (RIA)</w:t>
            </w:r>
          </w:p>
        </w:tc>
        <w:tc>
          <w:tcPr>
            <w:tcW w:w="3626" w:type="dxa"/>
            <w:gridSpan w:val="2"/>
            <w:vAlign w:val="center"/>
          </w:tcPr>
          <w:p w14:paraId="5B185E8C" w14:textId="77777777" w:rsidR="00F513B3" w:rsidRPr="008225D0" w:rsidRDefault="00F513B3" w:rsidP="00F513B3">
            <w:pPr>
              <w:jc w:val="center"/>
              <w:rPr>
                <w:b/>
              </w:rPr>
            </w:pPr>
            <w:r w:rsidRPr="008225D0">
              <w:rPr>
                <w:b/>
              </w:rPr>
              <w:t>Nieuwe methode (ELISA)</w:t>
            </w:r>
          </w:p>
        </w:tc>
      </w:tr>
      <w:tr w:rsidR="00F513B3" w14:paraId="47BCA268" w14:textId="77777777" w:rsidTr="008225D0">
        <w:tc>
          <w:tcPr>
            <w:tcW w:w="1812" w:type="dxa"/>
          </w:tcPr>
          <w:p w14:paraId="21CA92B1" w14:textId="77777777" w:rsidR="00F513B3" w:rsidRDefault="00F513B3" w:rsidP="00F513B3">
            <w:pPr>
              <w:jc w:val="both"/>
            </w:pPr>
          </w:p>
        </w:tc>
        <w:tc>
          <w:tcPr>
            <w:tcW w:w="1812" w:type="dxa"/>
            <w:vAlign w:val="center"/>
          </w:tcPr>
          <w:p w14:paraId="736A5D06" w14:textId="77777777" w:rsidR="00F513B3" w:rsidRPr="008225D0" w:rsidRDefault="00F513B3" w:rsidP="00F513B3">
            <w:pPr>
              <w:jc w:val="center"/>
              <w:rPr>
                <w:b/>
              </w:rPr>
            </w:pPr>
            <w:r w:rsidRPr="008225D0">
              <w:rPr>
                <w:b/>
              </w:rPr>
              <w:t>Sensitiviteit</w:t>
            </w:r>
          </w:p>
        </w:tc>
        <w:tc>
          <w:tcPr>
            <w:tcW w:w="1812" w:type="dxa"/>
            <w:vAlign w:val="center"/>
          </w:tcPr>
          <w:p w14:paraId="527FAF62" w14:textId="77777777" w:rsidR="00F513B3" w:rsidRPr="008225D0" w:rsidRDefault="00F513B3" w:rsidP="00F513B3">
            <w:pPr>
              <w:jc w:val="center"/>
              <w:rPr>
                <w:b/>
              </w:rPr>
            </w:pPr>
            <w:r w:rsidRPr="008225D0">
              <w:rPr>
                <w:b/>
              </w:rPr>
              <w:t>Specificiteit</w:t>
            </w:r>
          </w:p>
        </w:tc>
        <w:tc>
          <w:tcPr>
            <w:tcW w:w="1813" w:type="dxa"/>
            <w:vAlign w:val="center"/>
          </w:tcPr>
          <w:p w14:paraId="0778145A" w14:textId="77777777" w:rsidR="00F513B3" w:rsidRPr="008225D0" w:rsidRDefault="00F513B3" w:rsidP="00F513B3">
            <w:pPr>
              <w:jc w:val="center"/>
              <w:rPr>
                <w:b/>
              </w:rPr>
            </w:pPr>
            <w:r w:rsidRPr="008225D0">
              <w:rPr>
                <w:b/>
              </w:rPr>
              <w:t>Sensitiviteit</w:t>
            </w:r>
          </w:p>
        </w:tc>
        <w:tc>
          <w:tcPr>
            <w:tcW w:w="1813" w:type="dxa"/>
            <w:vAlign w:val="center"/>
          </w:tcPr>
          <w:p w14:paraId="24B17AB1" w14:textId="77777777" w:rsidR="00F513B3" w:rsidRPr="00FA158C" w:rsidRDefault="00F513B3" w:rsidP="00F513B3">
            <w:pPr>
              <w:jc w:val="center"/>
              <w:rPr>
                <w:b/>
              </w:rPr>
            </w:pPr>
            <w:r w:rsidRPr="00FA158C">
              <w:rPr>
                <w:b/>
              </w:rPr>
              <w:t>Specificiteit</w:t>
            </w:r>
          </w:p>
        </w:tc>
      </w:tr>
      <w:tr w:rsidR="00F513B3" w14:paraId="43AEED32" w14:textId="77777777" w:rsidTr="008225D0">
        <w:tc>
          <w:tcPr>
            <w:tcW w:w="1812" w:type="dxa"/>
          </w:tcPr>
          <w:p w14:paraId="2AAF3BE9" w14:textId="77777777" w:rsidR="00F513B3" w:rsidRPr="008225D0" w:rsidRDefault="00F513B3" w:rsidP="000E4DE7">
            <w:pPr>
              <w:jc w:val="both"/>
              <w:rPr>
                <w:b/>
              </w:rPr>
            </w:pPr>
            <w:r w:rsidRPr="008225D0">
              <w:rPr>
                <w:b/>
              </w:rPr>
              <w:t>GADA</w:t>
            </w:r>
          </w:p>
        </w:tc>
        <w:tc>
          <w:tcPr>
            <w:tcW w:w="1812" w:type="dxa"/>
            <w:vAlign w:val="center"/>
          </w:tcPr>
          <w:p w14:paraId="1F9A221A" w14:textId="77777777" w:rsidR="00F513B3" w:rsidRDefault="00F513B3" w:rsidP="00F513B3">
            <w:pPr>
              <w:jc w:val="center"/>
            </w:pPr>
            <w:r>
              <w:t>70%</w:t>
            </w:r>
          </w:p>
        </w:tc>
        <w:tc>
          <w:tcPr>
            <w:tcW w:w="1812" w:type="dxa"/>
            <w:vAlign w:val="center"/>
          </w:tcPr>
          <w:p w14:paraId="771B0BB8" w14:textId="77777777" w:rsidR="00F513B3" w:rsidRDefault="00F513B3" w:rsidP="00F513B3">
            <w:pPr>
              <w:jc w:val="center"/>
            </w:pPr>
            <w:r>
              <w:t>99%</w:t>
            </w:r>
          </w:p>
        </w:tc>
        <w:tc>
          <w:tcPr>
            <w:tcW w:w="1813" w:type="dxa"/>
            <w:vAlign w:val="center"/>
          </w:tcPr>
          <w:p w14:paraId="639D8E99" w14:textId="77777777" w:rsidR="00F513B3" w:rsidRDefault="00F513B3" w:rsidP="00F513B3">
            <w:pPr>
              <w:jc w:val="center"/>
            </w:pPr>
            <w:r>
              <w:t>84%</w:t>
            </w:r>
          </w:p>
        </w:tc>
        <w:tc>
          <w:tcPr>
            <w:tcW w:w="1813" w:type="dxa"/>
            <w:vAlign w:val="center"/>
          </w:tcPr>
          <w:p w14:paraId="2E746E0E" w14:textId="77777777" w:rsidR="00F513B3" w:rsidRDefault="00F513B3" w:rsidP="00F513B3">
            <w:pPr>
              <w:jc w:val="center"/>
            </w:pPr>
            <w:r>
              <w:t>98%</w:t>
            </w:r>
          </w:p>
        </w:tc>
      </w:tr>
      <w:tr w:rsidR="00F513B3" w14:paraId="2BE82032" w14:textId="77777777" w:rsidTr="008225D0">
        <w:tc>
          <w:tcPr>
            <w:tcW w:w="1812" w:type="dxa"/>
          </w:tcPr>
          <w:p w14:paraId="28CE7666" w14:textId="77777777" w:rsidR="00F513B3" w:rsidRPr="008225D0" w:rsidRDefault="00F513B3" w:rsidP="000E4DE7">
            <w:pPr>
              <w:jc w:val="both"/>
              <w:rPr>
                <w:b/>
              </w:rPr>
            </w:pPr>
            <w:r w:rsidRPr="008225D0">
              <w:rPr>
                <w:b/>
              </w:rPr>
              <w:t>IA-2A</w:t>
            </w:r>
          </w:p>
        </w:tc>
        <w:tc>
          <w:tcPr>
            <w:tcW w:w="1812" w:type="dxa"/>
            <w:vAlign w:val="center"/>
          </w:tcPr>
          <w:p w14:paraId="13A0FBBA" w14:textId="77777777" w:rsidR="00F513B3" w:rsidRDefault="00F513B3" w:rsidP="00F513B3">
            <w:pPr>
              <w:jc w:val="center"/>
            </w:pPr>
            <w:r>
              <w:t>78%</w:t>
            </w:r>
          </w:p>
        </w:tc>
        <w:tc>
          <w:tcPr>
            <w:tcW w:w="1812" w:type="dxa"/>
            <w:vAlign w:val="center"/>
          </w:tcPr>
          <w:p w14:paraId="21E5CBCA" w14:textId="77777777" w:rsidR="00F513B3" w:rsidRDefault="00F513B3" w:rsidP="00F513B3">
            <w:pPr>
              <w:jc w:val="center"/>
            </w:pPr>
            <w:r>
              <w:t>100%</w:t>
            </w:r>
          </w:p>
        </w:tc>
        <w:tc>
          <w:tcPr>
            <w:tcW w:w="1813" w:type="dxa"/>
            <w:vAlign w:val="center"/>
          </w:tcPr>
          <w:p w14:paraId="07C7C739" w14:textId="77777777" w:rsidR="00F513B3" w:rsidRDefault="00F513B3" w:rsidP="00F513B3">
            <w:pPr>
              <w:jc w:val="center"/>
            </w:pPr>
            <w:r>
              <w:t>76%</w:t>
            </w:r>
          </w:p>
        </w:tc>
        <w:tc>
          <w:tcPr>
            <w:tcW w:w="1813" w:type="dxa"/>
            <w:vAlign w:val="center"/>
          </w:tcPr>
          <w:p w14:paraId="16328A16" w14:textId="77777777" w:rsidR="00F513B3" w:rsidRDefault="00F513B3" w:rsidP="00F513B3">
            <w:pPr>
              <w:jc w:val="center"/>
            </w:pPr>
            <w:r>
              <w:t>99%</w:t>
            </w:r>
          </w:p>
        </w:tc>
      </w:tr>
      <w:tr w:rsidR="00F513B3" w14:paraId="261806C6" w14:textId="77777777" w:rsidTr="008225D0">
        <w:tc>
          <w:tcPr>
            <w:tcW w:w="1812" w:type="dxa"/>
          </w:tcPr>
          <w:p w14:paraId="0327EC78" w14:textId="77777777" w:rsidR="00F513B3" w:rsidRPr="008225D0" w:rsidRDefault="00F513B3" w:rsidP="000E4DE7">
            <w:pPr>
              <w:jc w:val="both"/>
              <w:rPr>
                <w:b/>
              </w:rPr>
            </w:pPr>
            <w:r w:rsidRPr="008225D0">
              <w:rPr>
                <w:b/>
              </w:rPr>
              <w:t>ZnT8A</w:t>
            </w:r>
          </w:p>
        </w:tc>
        <w:tc>
          <w:tcPr>
            <w:tcW w:w="1812" w:type="dxa"/>
            <w:vAlign w:val="center"/>
          </w:tcPr>
          <w:p w14:paraId="2DA763F4" w14:textId="77777777" w:rsidR="00F513B3" w:rsidRDefault="00F513B3" w:rsidP="00F513B3">
            <w:pPr>
              <w:jc w:val="center"/>
            </w:pPr>
            <w:r>
              <w:t>60%</w:t>
            </w:r>
          </w:p>
        </w:tc>
        <w:tc>
          <w:tcPr>
            <w:tcW w:w="1812" w:type="dxa"/>
            <w:vAlign w:val="center"/>
          </w:tcPr>
          <w:p w14:paraId="09B24F81" w14:textId="77777777" w:rsidR="00F513B3" w:rsidRDefault="00F513B3" w:rsidP="00F513B3">
            <w:pPr>
              <w:jc w:val="center"/>
            </w:pPr>
            <w:r>
              <w:t>100%</w:t>
            </w:r>
          </w:p>
        </w:tc>
        <w:tc>
          <w:tcPr>
            <w:tcW w:w="1813" w:type="dxa"/>
            <w:vAlign w:val="center"/>
          </w:tcPr>
          <w:p w14:paraId="18A0B366" w14:textId="77777777" w:rsidR="00F513B3" w:rsidRDefault="00544302" w:rsidP="00F513B3">
            <w:pPr>
              <w:jc w:val="center"/>
            </w:pPr>
            <w:r>
              <w:t>76</w:t>
            </w:r>
            <w:r w:rsidR="00F513B3">
              <w:t>%</w:t>
            </w:r>
          </w:p>
        </w:tc>
        <w:tc>
          <w:tcPr>
            <w:tcW w:w="1813" w:type="dxa"/>
            <w:vAlign w:val="center"/>
          </w:tcPr>
          <w:p w14:paraId="680F17FC" w14:textId="77777777" w:rsidR="00F513B3" w:rsidRDefault="00F513B3" w:rsidP="00544302">
            <w:pPr>
              <w:jc w:val="center"/>
            </w:pPr>
            <w:r>
              <w:t>9</w:t>
            </w:r>
            <w:r w:rsidR="00544302">
              <w:t>9</w:t>
            </w:r>
            <w:r>
              <w:t>%</w:t>
            </w:r>
          </w:p>
        </w:tc>
      </w:tr>
    </w:tbl>
    <w:p w14:paraId="02C8A6CF" w14:textId="77777777" w:rsidR="00F513B3" w:rsidRDefault="00F513B3" w:rsidP="000E4DE7">
      <w:pPr>
        <w:jc w:val="both"/>
      </w:pPr>
    </w:p>
    <w:p w14:paraId="66B4149C" w14:textId="77777777" w:rsidR="000E4DE7" w:rsidRDefault="00F513B3" w:rsidP="000E4DE7">
      <w:pPr>
        <w:jc w:val="both"/>
      </w:pPr>
      <w:r>
        <w:t>De waarden van beide methodes zijn niet te vergelijken</w:t>
      </w:r>
      <w:r w:rsidR="00EE0814">
        <w:t>, omrekening is niet mogelijk</w:t>
      </w:r>
      <w:r>
        <w:t xml:space="preserve">, ze hebben volledig </w:t>
      </w:r>
      <w:r w:rsidR="00CB08AE">
        <w:t xml:space="preserve">verschillende </w:t>
      </w:r>
      <w:proofErr w:type="spellStart"/>
      <w:r w:rsidR="00CB08AE">
        <w:t>cut-off</w:t>
      </w:r>
      <w:proofErr w:type="spellEnd"/>
      <w:r>
        <w:t xml:space="preserve"> waarden</w:t>
      </w:r>
      <w:r w:rsidR="00CB08AE">
        <w:t xml:space="preserve"> voor </w:t>
      </w:r>
      <w:proofErr w:type="spellStart"/>
      <w:r w:rsidR="00CB08AE">
        <w:t>positiviteit</w:t>
      </w:r>
      <w:proofErr w:type="spellEnd"/>
      <w:r>
        <w:t>. De nieuwe referentiewaarden zijn de volgende</w:t>
      </w:r>
      <w:r w:rsidR="007C34DF">
        <w:t>:</w:t>
      </w:r>
    </w:p>
    <w:tbl>
      <w:tblPr>
        <w:tblStyle w:val="Tabelraster"/>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1838"/>
        <w:gridCol w:w="2410"/>
      </w:tblGrid>
      <w:tr w:rsidR="007C34DF" w14:paraId="026442FF" w14:textId="77777777" w:rsidTr="007C34DF">
        <w:tc>
          <w:tcPr>
            <w:tcW w:w="1838" w:type="dxa"/>
          </w:tcPr>
          <w:p w14:paraId="25879478" w14:textId="77777777" w:rsidR="007C34DF" w:rsidRPr="008225D0" w:rsidRDefault="007C34DF" w:rsidP="000E4DE7">
            <w:pPr>
              <w:jc w:val="both"/>
              <w:rPr>
                <w:b/>
              </w:rPr>
            </w:pPr>
            <w:r w:rsidRPr="008225D0">
              <w:rPr>
                <w:b/>
              </w:rPr>
              <w:t>Merker</w:t>
            </w:r>
          </w:p>
        </w:tc>
        <w:tc>
          <w:tcPr>
            <w:tcW w:w="2410" w:type="dxa"/>
          </w:tcPr>
          <w:p w14:paraId="5D578A5F" w14:textId="77777777" w:rsidR="007C34DF" w:rsidRPr="008225D0" w:rsidRDefault="007C34DF" w:rsidP="007C34DF">
            <w:pPr>
              <w:jc w:val="both"/>
              <w:rPr>
                <w:b/>
              </w:rPr>
            </w:pPr>
            <w:r>
              <w:rPr>
                <w:b/>
              </w:rPr>
              <w:t>Referentiewaarden</w:t>
            </w:r>
          </w:p>
        </w:tc>
      </w:tr>
      <w:tr w:rsidR="007C34DF" w14:paraId="2CAB3928" w14:textId="77777777" w:rsidTr="007C34DF">
        <w:tc>
          <w:tcPr>
            <w:tcW w:w="1838" w:type="dxa"/>
          </w:tcPr>
          <w:p w14:paraId="5B6AD400" w14:textId="77777777" w:rsidR="007C34DF" w:rsidRPr="008225D0" w:rsidRDefault="007C34DF" w:rsidP="00CB08AE">
            <w:pPr>
              <w:jc w:val="both"/>
              <w:rPr>
                <w:b/>
              </w:rPr>
            </w:pPr>
            <w:r w:rsidRPr="008225D0">
              <w:rPr>
                <w:b/>
              </w:rPr>
              <w:t>GADA</w:t>
            </w:r>
          </w:p>
        </w:tc>
        <w:tc>
          <w:tcPr>
            <w:tcW w:w="2410" w:type="dxa"/>
          </w:tcPr>
          <w:p w14:paraId="2C53FA04" w14:textId="77777777" w:rsidR="007C34DF" w:rsidRDefault="007C34DF" w:rsidP="00544302">
            <w:pPr>
              <w:jc w:val="both"/>
            </w:pPr>
            <w:r>
              <w:t xml:space="preserve">&lt; </w:t>
            </w:r>
            <w:r w:rsidRPr="00544302">
              <w:t>7</w:t>
            </w:r>
            <w:r>
              <w:t>.</w:t>
            </w:r>
            <w:r w:rsidRPr="00544302">
              <w:t>5 IU/</w:t>
            </w:r>
            <w:proofErr w:type="spellStart"/>
            <w:r w:rsidRPr="00544302">
              <w:t>mL</w:t>
            </w:r>
            <w:proofErr w:type="spellEnd"/>
          </w:p>
        </w:tc>
      </w:tr>
      <w:tr w:rsidR="007C34DF" w14:paraId="0E2E6D38" w14:textId="77777777" w:rsidTr="007C34DF">
        <w:tc>
          <w:tcPr>
            <w:tcW w:w="1838" w:type="dxa"/>
          </w:tcPr>
          <w:p w14:paraId="3FBC74DE" w14:textId="77777777" w:rsidR="007C34DF" w:rsidRPr="008225D0" w:rsidRDefault="007C34DF" w:rsidP="00CB08AE">
            <w:pPr>
              <w:jc w:val="both"/>
              <w:rPr>
                <w:b/>
              </w:rPr>
            </w:pPr>
            <w:r w:rsidRPr="008225D0">
              <w:rPr>
                <w:b/>
              </w:rPr>
              <w:t>IA-2A</w:t>
            </w:r>
          </w:p>
        </w:tc>
        <w:tc>
          <w:tcPr>
            <w:tcW w:w="2410" w:type="dxa"/>
          </w:tcPr>
          <w:p w14:paraId="3BDC5179" w14:textId="77777777" w:rsidR="007C34DF" w:rsidRDefault="007C34DF" w:rsidP="007C7E81">
            <w:pPr>
              <w:jc w:val="both"/>
            </w:pPr>
            <w:r>
              <w:t>&lt;</w:t>
            </w:r>
            <w:r w:rsidR="007C7E81">
              <w:t xml:space="preserve"> 10</w:t>
            </w:r>
            <w:r w:rsidRPr="00544302">
              <w:t xml:space="preserve"> IU/</w:t>
            </w:r>
            <w:proofErr w:type="spellStart"/>
            <w:r w:rsidRPr="00544302">
              <w:t>mL</w:t>
            </w:r>
            <w:proofErr w:type="spellEnd"/>
          </w:p>
        </w:tc>
      </w:tr>
      <w:tr w:rsidR="007C34DF" w14:paraId="11AF238D" w14:textId="77777777" w:rsidTr="007C34DF">
        <w:tc>
          <w:tcPr>
            <w:tcW w:w="1838" w:type="dxa"/>
          </w:tcPr>
          <w:p w14:paraId="2620C427" w14:textId="77777777" w:rsidR="007C34DF" w:rsidRPr="008225D0" w:rsidRDefault="007C34DF" w:rsidP="00CB08AE">
            <w:pPr>
              <w:jc w:val="both"/>
              <w:rPr>
                <w:b/>
              </w:rPr>
            </w:pPr>
            <w:r w:rsidRPr="008225D0">
              <w:rPr>
                <w:b/>
              </w:rPr>
              <w:t>ZnT8A</w:t>
            </w:r>
          </w:p>
        </w:tc>
        <w:tc>
          <w:tcPr>
            <w:tcW w:w="2410" w:type="dxa"/>
          </w:tcPr>
          <w:p w14:paraId="5211D898" w14:textId="77777777" w:rsidR="007C34DF" w:rsidRDefault="007C34DF" w:rsidP="007C7E81">
            <w:pPr>
              <w:jc w:val="both"/>
            </w:pPr>
            <w:r>
              <w:t>&lt; 10</w:t>
            </w:r>
            <w:r w:rsidR="00E46F76">
              <w:t xml:space="preserve"> </w:t>
            </w:r>
            <w:r w:rsidRPr="00544302">
              <w:t>U/</w:t>
            </w:r>
            <w:proofErr w:type="spellStart"/>
            <w:r w:rsidRPr="00544302">
              <w:t>mL</w:t>
            </w:r>
            <w:proofErr w:type="spellEnd"/>
          </w:p>
        </w:tc>
      </w:tr>
    </w:tbl>
    <w:p w14:paraId="06F39405" w14:textId="77777777" w:rsidR="00F513B3" w:rsidRDefault="00F513B3" w:rsidP="000E4DE7">
      <w:pPr>
        <w:jc w:val="both"/>
      </w:pPr>
    </w:p>
    <w:p w14:paraId="49823558" w14:textId="77777777" w:rsidR="00F513B3" w:rsidRDefault="00CB08AE" w:rsidP="000E4DE7">
      <w:pPr>
        <w:jc w:val="both"/>
      </w:pPr>
      <w:r>
        <w:t>U mag erop rekenen dat wij blijven streven naar kwaliteit en de beste methodes voor de bepalingen van diabetes-geassocieerde antilichamen</w:t>
      </w:r>
      <w:r w:rsidR="007C34DF">
        <w:t xml:space="preserve"> en andere diabetes-</w:t>
      </w:r>
      <w:r w:rsidR="008C2496">
        <w:t>merkers</w:t>
      </w:r>
      <w:r w:rsidR="007C34DF">
        <w:t>. Met vragen kan u altijd te</w:t>
      </w:r>
      <w:r>
        <w:t>recht bij onze klinische biologen die deze bepalingen opvolgen en superviseren</w:t>
      </w:r>
    </w:p>
    <w:p w14:paraId="23454D48" w14:textId="77777777" w:rsidR="00CB08AE" w:rsidRPr="00C03BAA" w:rsidRDefault="00CB08AE" w:rsidP="000E4DE7">
      <w:pPr>
        <w:jc w:val="both"/>
      </w:pPr>
      <w:r>
        <w:t xml:space="preserve">- </w:t>
      </w:r>
      <w:r w:rsidR="007C5AC2">
        <w:t>p</w:t>
      </w:r>
      <w:r>
        <w:t xml:space="preserve">rof. dr. </w:t>
      </w:r>
      <w:r w:rsidRPr="00C03BAA">
        <w:t>Ilse Weets</w:t>
      </w:r>
      <w:r w:rsidR="008C2496" w:rsidRPr="00C03BAA">
        <w:t xml:space="preserve"> (02 477 50 30 of ilse.weets@uzbrussel.be)</w:t>
      </w:r>
    </w:p>
    <w:p w14:paraId="34B2949B" w14:textId="77777777" w:rsidR="00CB08AE" w:rsidRPr="008C2496" w:rsidRDefault="00CB08AE" w:rsidP="000E4DE7">
      <w:pPr>
        <w:jc w:val="both"/>
      </w:pPr>
      <w:r>
        <w:t xml:space="preserve">- </w:t>
      </w:r>
      <w:r w:rsidR="007C5AC2">
        <w:t>p</w:t>
      </w:r>
      <w:r>
        <w:t>rof. dr. Annelien Van Dalem</w:t>
      </w:r>
      <w:r w:rsidR="008C2496">
        <w:t xml:space="preserve"> </w:t>
      </w:r>
      <w:r w:rsidR="008C2496" w:rsidRPr="008C2496">
        <w:t xml:space="preserve">(02 477 50 30 of </w:t>
      </w:r>
      <w:r w:rsidR="008C2496">
        <w:t>annelien</w:t>
      </w:r>
      <w:r w:rsidR="007C34DF">
        <w:t>.van</w:t>
      </w:r>
      <w:r w:rsidR="008C2496">
        <w:t>dalem</w:t>
      </w:r>
      <w:r w:rsidR="008C2496" w:rsidRPr="008C2496">
        <w:t>@uzbrussel.be)</w:t>
      </w:r>
    </w:p>
    <w:p w14:paraId="41FBC2CB" w14:textId="77777777" w:rsidR="00CB08AE" w:rsidRPr="007C5AC2" w:rsidRDefault="00CB08AE" w:rsidP="000E4DE7">
      <w:pPr>
        <w:jc w:val="both"/>
        <w:rPr>
          <w:lang w:val="en-US"/>
        </w:rPr>
      </w:pPr>
      <w:r w:rsidRPr="007C5AC2">
        <w:rPr>
          <w:lang w:val="en-US"/>
        </w:rPr>
        <w:t xml:space="preserve">- </w:t>
      </w:r>
      <w:r w:rsidR="007C5AC2" w:rsidRPr="007C5AC2">
        <w:rPr>
          <w:lang w:val="en-US"/>
        </w:rPr>
        <w:t>d</w:t>
      </w:r>
      <w:r w:rsidRPr="007C5AC2">
        <w:rPr>
          <w:lang w:val="en-US"/>
        </w:rPr>
        <w:t>r. Bavo Blomme</w:t>
      </w:r>
      <w:r w:rsidR="008C2496" w:rsidRPr="007C5AC2">
        <w:rPr>
          <w:lang w:val="en-US"/>
        </w:rPr>
        <w:t xml:space="preserve"> (02 477 50 30 of bavo.blomme@uzbrussel.be)</w:t>
      </w:r>
    </w:p>
    <w:p w14:paraId="726CC055" w14:textId="77777777" w:rsidR="00F513B3" w:rsidRPr="007C5AC2" w:rsidRDefault="00F513B3" w:rsidP="000E4DE7">
      <w:pPr>
        <w:jc w:val="both"/>
        <w:rPr>
          <w:lang w:val="en-US"/>
        </w:rPr>
      </w:pPr>
    </w:p>
    <w:p w14:paraId="511B6DDF" w14:textId="77777777" w:rsidR="00CB08AE" w:rsidRPr="00CF0722" w:rsidRDefault="00CB08AE" w:rsidP="000E4DE7">
      <w:pPr>
        <w:jc w:val="both"/>
        <w:rPr>
          <w:b/>
        </w:rPr>
      </w:pPr>
      <w:r w:rsidRPr="00CF0722">
        <w:rPr>
          <w:b/>
        </w:rPr>
        <w:t>2. Facturatie</w:t>
      </w:r>
    </w:p>
    <w:p w14:paraId="2452DA8E" w14:textId="77777777" w:rsidR="00CF0722" w:rsidRDefault="00CF0722" w:rsidP="000E4DE7">
      <w:pPr>
        <w:jc w:val="both"/>
      </w:pPr>
      <w:r>
        <w:t>Vanaf 1 oktober 2023 herzien we</w:t>
      </w:r>
      <w:r w:rsidR="00DC051D">
        <w:t xml:space="preserve"> ook</w:t>
      </w:r>
      <w:r>
        <w:t xml:space="preserve"> de facturatie van onze bepalingen. De voorbije jaren was er </w:t>
      </w:r>
      <w:r w:rsidR="007C34DF">
        <w:t xml:space="preserve">soms </w:t>
      </w:r>
      <w:r>
        <w:t xml:space="preserve">onduidelijkheid met als resultaat </w:t>
      </w:r>
      <w:r w:rsidR="007C34DF">
        <w:t xml:space="preserve">wat </w:t>
      </w:r>
      <w:r>
        <w:t>klachten en dit willen we in de toekomst vermijden.</w:t>
      </w:r>
    </w:p>
    <w:p w14:paraId="19974B8F" w14:textId="77777777" w:rsidR="00CF0722" w:rsidRDefault="007C34DF" w:rsidP="000E4DE7">
      <w:pPr>
        <w:jc w:val="both"/>
      </w:pPr>
      <w:r>
        <w:t xml:space="preserve">We </w:t>
      </w:r>
      <w:r w:rsidR="00CF0722">
        <w:t>aanvaarden</w:t>
      </w:r>
      <w:r>
        <w:t xml:space="preserve"> voor externe aanvragen </w:t>
      </w:r>
      <w:r w:rsidR="00CF0722">
        <w:t>nog enkel 2 opties</w:t>
      </w:r>
      <w:r w:rsidR="00274C7D">
        <w:t xml:space="preserve"> in lijn met de geldende RIZIV nomenclatuur</w:t>
      </w:r>
      <w:r>
        <w:t>:</w:t>
      </w:r>
    </w:p>
    <w:p w14:paraId="5C3A7BD9" w14:textId="77777777" w:rsidR="00CF0722" w:rsidRDefault="00CF0722" w:rsidP="000E4DE7">
      <w:pPr>
        <w:jc w:val="both"/>
      </w:pPr>
      <w:r>
        <w:t>- routine bepalingen</w:t>
      </w:r>
      <w:r w:rsidR="007C34DF">
        <w:t xml:space="preserve"> i</w:t>
      </w:r>
      <w:r>
        <w:t xml:space="preserve">n </w:t>
      </w:r>
      <w:proofErr w:type="spellStart"/>
      <w:r>
        <w:t>onderaanneming</w:t>
      </w:r>
      <w:proofErr w:type="spellEnd"/>
      <w:r w:rsidR="007C34DF">
        <w:t xml:space="preserve"> </w:t>
      </w:r>
    </w:p>
    <w:p w14:paraId="4AAE17F0" w14:textId="77777777" w:rsidR="00CF0722" w:rsidRDefault="00CF0722" w:rsidP="000E4DE7">
      <w:pPr>
        <w:jc w:val="both"/>
      </w:pPr>
      <w:r>
        <w:t>- bepaling</w:t>
      </w:r>
      <w:r w:rsidR="00544302">
        <w:t>en</w:t>
      </w:r>
      <w:r>
        <w:t xml:space="preserve"> in kader van studies, inclusief BDR, welke geen aanrekening inhoudt aan het doorsturend labo en/of patiënt. Dit houdt wel in dat de aanvraag </w:t>
      </w:r>
      <w:r w:rsidR="00EE0814">
        <w:t>een</w:t>
      </w:r>
      <w:r>
        <w:t xml:space="preserve"> studienummer dient te vermelden omdat anders de analyse niet zal uitgevoerd worden. De correcte aanvragen</w:t>
      </w:r>
      <w:r w:rsidR="00EE0814">
        <w:t xml:space="preserve"> met studienummer</w:t>
      </w:r>
      <w:r>
        <w:t xml:space="preserve"> zullen via BDR verdeeld worden.</w:t>
      </w:r>
    </w:p>
    <w:p w14:paraId="13D91F71" w14:textId="77777777" w:rsidR="00124D31" w:rsidRDefault="00124D31" w:rsidP="000E4DE7">
      <w:pPr>
        <w:jc w:val="both"/>
      </w:pPr>
      <w:r>
        <w:lastRenderedPageBreak/>
        <w:t>Let wel, niet alle bepalingen zijn terugbetaald via de nomenclatuur. Analyses buiten nom</w:t>
      </w:r>
      <w:r w:rsidR="00DC051D">
        <w:t>enclatuur worden aangerekend</w:t>
      </w:r>
      <w:r>
        <w:t>.</w:t>
      </w:r>
      <w:r w:rsidR="00996BF9">
        <w:t xml:space="preserve"> Hierbij een overzicht</w:t>
      </w:r>
      <w:r w:rsidR="007C34DF">
        <w:t>:</w:t>
      </w:r>
    </w:p>
    <w:tbl>
      <w:tblPr>
        <w:tblStyle w:val="Tabelraster"/>
        <w:tblW w:w="9634" w:type="dxa"/>
        <w:tblLook w:val="04A0" w:firstRow="1" w:lastRow="0" w:firstColumn="1" w:lastColumn="0" w:noHBand="0" w:noVBand="1"/>
      </w:tblPr>
      <w:tblGrid>
        <w:gridCol w:w="1413"/>
        <w:gridCol w:w="5670"/>
        <w:gridCol w:w="2551"/>
      </w:tblGrid>
      <w:tr w:rsidR="00996BF9" w14:paraId="082ABB6D" w14:textId="77777777" w:rsidTr="002216DA">
        <w:tc>
          <w:tcPr>
            <w:tcW w:w="1413" w:type="dxa"/>
          </w:tcPr>
          <w:p w14:paraId="0B97EFF2" w14:textId="77777777" w:rsidR="00996BF9" w:rsidRPr="00EE0814" w:rsidRDefault="00EE0814" w:rsidP="000E4DE7">
            <w:pPr>
              <w:jc w:val="both"/>
              <w:rPr>
                <w:b/>
              </w:rPr>
            </w:pPr>
            <w:r>
              <w:rPr>
                <w:b/>
              </w:rPr>
              <w:t>Merker</w:t>
            </w:r>
          </w:p>
        </w:tc>
        <w:tc>
          <w:tcPr>
            <w:tcW w:w="5670" w:type="dxa"/>
          </w:tcPr>
          <w:p w14:paraId="5EDCCBBD" w14:textId="77777777" w:rsidR="00996BF9" w:rsidRPr="00EE0814" w:rsidRDefault="00996BF9" w:rsidP="000E4DE7">
            <w:pPr>
              <w:jc w:val="both"/>
              <w:rPr>
                <w:b/>
              </w:rPr>
            </w:pPr>
            <w:r w:rsidRPr="00EE0814">
              <w:rPr>
                <w:b/>
              </w:rPr>
              <w:t>Regels</w:t>
            </w:r>
          </w:p>
        </w:tc>
        <w:tc>
          <w:tcPr>
            <w:tcW w:w="2551" w:type="dxa"/>
          </w:tcPr>
          <w:p w14:paraId="5780EDAC" w14:textId="77777777" w:rsidR="00996BF9" w:rsidRPr="00EE0814" w:rsidRDefault="00996BF9" w:rsidP="000E4DE7">
            <w:pPr>
              <w:jc w:val="both"/>
              <w:rPr>
                <w:b/>
              </w:rPr>
            </w:pPr>
            <w:r w:rsidRPr="00EE0814">
              <w:rPr>
                <w:b/>
              </w:rPr>
              <w:t>Nomenclatuur</w:t>
            </w:r>
            <w:r w:rsidR="00DC051D" w:rsidRPr="00EE0814">
              <w:rPr>
                <w:b/>
              </w:rPr>
              <w:t>/kostprijs</w:t>
            </w:r>
          </w:p>
        </w:tc>
      </w:tr>
      <w:tr w:rsidR="000E72D2" w14:paraId="513D8ECA" w14:textId="77777777" w:rsidTr="002216DA">
        <w:tc>
          <w:tcPr>
            <w:tcW w:w="1413" w:type="dxa"/>
          </w:tcPr>
          <w:p w14:paraId="6A64F333" w14:textId="77777777" w:rsidR="000E72D2" w:rsidRDefault="000E72D2" w:rsidP="000E4DE7">
            <w:pPr>
              <w:jc w:val="both"/>
            </w:pPr>
            <w:r>
              <w:t>ICA opsporen</w:t>
            </w:r>
          </w:p>
        </w:tc>
        <w:tc>
          <w:tcPr>
            <w:tcW w:w="5670" w:type="dxa"/>
          </w:tcPr>
          <w:p w14:paraId="3DD2EAFB" w14:textId="77777777" w:rsidR="000E72D2" w:rsidRDefault="000E72D2" w:rsidP="00DC051D">
            <w:pPr>
              <w:jc w:val="both"/>
              <w:rPr>
                <w:rFonts w:ascii="Calibri" w:hAnsi="Calibri"/>
                <w:color w:val="000000"/>
              </w:rPr>
            </w:pPr>
          </w:p>
        </w:tc>
        <w:tc>
          <w:tcPr>
            <w:tcW w:w="2551" w:type="dxa"/>
          </w:tcPr>
          <w:p w14:paraId="5F8D77E6" w14:textId="77777777" w:rsidR="000E72D2" w:rsidRPr="00DC051D" w:rsidRDefault="000E72D2" w:rsidP="000E4DE7">
            <w:pPr>
              <w:jc w:val="both"/>
            </w:pPr>
            <w:r w:rsidRPr="000E72D2">
              <w:t>555951 - 555962</w:t>
            </w:r>
          </w:p>
        </w:tc>
      </w:tr>
      <w:tr w:rsidR="000E72D2" w14:paraId="64DF7783" w14:textId="77777777" w:rsidTr="002216DA">
        <w:tc>
          <w:tcPr>
            <w:tcW w:w="1413" w:type="dxa"/>
          </w:tcPr>
          <w:p w14:paraId="419BCC3A" w14:textId="77777777" w:rsidR="000E72D2" w:rsidRDefault="000E72D2" w:rsidP="000E72D2">
            <w:pPr>
              <w:jc w:val="both"/>
            </w:pPr>
            <w:r>
              <w:t>ICA titratie</w:t>
            </w:r>
          </w:p>
        </w:tc>
        <w:tc>
          <w:tcPr>
            <w:tcW w:w="5670" w:type="dxa"/>
          </w:tcPr>
          <w:p w14:paraId="10F695AE" w14:textId="77777777" w:rsidR="000E72D2" w:rsidRDefault="000E72D2" w:rsidP="00DC051D">
            <w:pPr>
              <w:jc w:val="both"/>
              <w:rPr>
                <w:rFonts w:ascii="Calibri" w:hAnsi="Calibri"/>
                <w:color w:val="000000"/>
              </w:rPr>
            </w:pPr>
            <w:r>
              <w:rPr>
                <w:rFonts w:ascii="Calibri" w:hAnsi="Calibri"/>
                <w:color w:val="000000"/>
              </w:rPr>
              <w:t>Diagnoseregel 26</w:t>
            </w:r>
          </w:p>
          <w:p w14:paraId="5ED8E80F" w14:textId="77777777" w:rsidR="000E72D2" w:rsidRDefault="000E72D2" w:rsidP="00DC051D">
            <w:pPr>
              <w:jc w:val="both"/>
              <w:rPr>
                <w:rFonts w:ascii="Calibri" w:hAnsi="Calibri"/>
                <w:color w:val="000000"/>
              </w:rPr>
            </w:pPr>
            <w:r w:rsidRPr="000E72D2">
              <w:rPr>
                <w:rFonts w:ascii="Calibri" w:hAnsi="Calibri"/>
                <w:color w:val="000000"/>
              </w:rPr>
              <w:t>De verstrekking 555973 - 555984 mag slechts worden aangerekend aan de ZIV indien de verstrekking 555951 - 555962 een positief resultaat oplevert.</w:t>
            </w:r>
          </w:p>
        </w:tc>
        <w:tc>
          <w:tcPr>
            <w:tcW w:w="2551" w:type="dxa"/>
          </w:tcPr>
          <w:p w14:paraId="424B7BF7" w14:textId="77777777" w:rsidR="000E72D2" w:rsidRPr="00DC051D" w:rsidRDefault="000E72D2" w:rsidP="000E4DE7">
            <w:pPr>
              <w:jc w:val="both"/>
            </w:pPr>
            <w:r w:rsidRPr="000E72D2">
              <w:t>555973 - 555984</w:t>
            </w:r>
          </w:p>
        </w:tc>
      </w:tr>
      <w:tr w:rsidR="000E72D2" w14:paraId="1088DF76" w14:textId="77777777" w:rsidTr="002216DA">
        <w:tc>
          <w:tcPr>
            <w:tcW w:w="1413" w:type="dxa"/>
          </w:tcPr>
          <w:p w14:paraId="6BF8D30D" w14:textId="77777777" w:rsidR="000E72D2" w:rsidRDefault="000E72D2" w:rsidP="000E4DE7">
            <w:pPr>
              <w:jc w:val="both"/>
            </w:pPr>
            <w:r>
              <w:t>IAA</w:t>
            </w:r>
          </w:p>
        </w:tc>
        <w:tc>
          <w:tcPr>
            <w:tcW w:w="5670" w:type="dxa"/>
          </w:tcPr>
          <w:p w14:paraId="43C57A3B" w14:textId="77777777" w:rsidR="000E72D2" w:rsidRDefault="008225D0" w:rsidP="00DC051D">
            <w:pPr>
              <w:jc w:val="both"/>
              <w:rPr>
                <w:rFonts w:ascii="Calibri" w:hAnsi="Calibri"/>
                <w:color w:val="000000"/>
              </w:rPr>
            </w:pPr>
            <w:r>
              <w:rPr>
                <w:rFonts w:ascii="Calibri" w:hAnsi="Calibri"/>
                <w:color w:val="000000"/>
              </w:rPr>
              <w:t>Cumulregel 120</w:t>
            </w:r>
          </w:p>
          <w:p w14:paraId="09EF017A" w14:textId="77777777" w:rsidR="008225D0" w:rsidRDefault="008225D0" w:rsidP="008225D0">
            <w:pPr>
              <w:rPr>
                <w:rFonts w:ascii="Calibri" w:hAnsi="Calibri"/>
                <w:color w:val="000000"/>
              </w:rPr>
            </w:pPr>
            <w:r w:rsidRPr="008225D0">
              <w:rPr>
                <w:rFonts w:ascii="Calibri" w:hAnsi="Calibri"/>
                <w:color w:val="000000"/>
              </w:rPr>
              <w:t xml:space="preserve">De verstrekkingen 438034 - 438045 en 556533 - 556544 mogen onderling niet worden </w:t>
            </w:r>
            <w:r>
              <w:rPr>
                <w:rFonts w:ascii="Calibri" w:hAnsi="Calibri"/>
                <w:color w:val="000000"/>
              </w:rPr>
              <w:t>gecumuleerd.</w:t>
            </w:r>
          </w:p>
        </w:tc>
        <w:tc>
          <w:tcPr>
            <w:tcW w:w="2551" w:type="dxa"/>
          </w:tcPr>
          <w:p w14:paraId="31186935" w14:textId="77777777" w:rsidR="000E72D2" w:rsidRPr="00DC051D" w:rsidRDefault="000E72D2" w:rsidP="000E4DE7">
            <w:pPr>
              <w:jc w:val="both"/>
            </w:pPr>
            <w:r w:rsidRPr="000E72D2">
              <w:t>438034 - 438045</w:t>
            </w:r>
          </w:p>
        </w:tc>
      </w:tr>
      <w:tr w:rsidR="00996BF9" w14:paraId="2A5C3FE3" w14:textId="77777777" w:rsidTr="002216DA">
        <w:tc>
          <w:tcPr>
            <w:tcW w:w="1413" w:type="dxa"/>
          </w:tcPr>
          <w:p w14:paraId="6DF17719" w14:textId="77777777" w:rsidR="00996BF9" w:rsidRDefault="00996BF9" w:rsidP="000E4DE7">
            <w:pPr>
              <w:jc w:val="both"/>
            </w:pPr>
            <w:r>
              <w:t>GADA</w:t>
            </w:r>
          </w:p>
        </w:tc>
        <w:tc>
          <w:tcPr>
            <w:tcW w:w="5670" w:type="dxa"/>
          </w:tcPr>
          <w:p w14:paraId="6372F3FD" w14:textId="77777777" w:rsidR="00274C7D" w:rsidRDefault="00274C7D" w:rsidP="00DC051D">
            <w:pPr>
              <w:jc w:val="both"/>
              <w:rPr>
                <w:rFonts w:ascii="Calibri" w:hAnsi="Calibri"/>
                <w:color w:val="000000"/>
              </w:rPr>
            </w:pPr>
            <w:r>
              <w:rPr>
                <w:rFonts w:ascii="Calibri" w:hAnsi="Calibri"/>
                <w:color w:val="000000"/>
              </w:rPr>
              <w:t>Diagnoseregel 63</w:t>
            </w:r>
          </w:p>
          <w:p w14:paraId="4C071F21" w14:textId="77777777" w:rsidR="00996BF9" w:rsidRDefault="00DC051D" w:rsidP="00DC051D">
            <w:pPr>
              <w:jc w:val="both"/>
            </w:pPr>
            <w:r>
              <w:rPr>
                <w:rFonts w:ascii="Calibri" w:hAnsi="Calibri"/>
                <w:color w:val="000000"/>
              </w:rPr>
              <w:t>De verstrekking mag enkel aangerekend worden aan de ZIV hetzij voor een diabetische patiënt van minder dan 40 jaar en waarvoor diabetes mellitus maximum 5 jaar eerder werd gediagnostiseerd, hetzij voor een eerstegraadsverwant van een dergelijke patiënt.</w:t>
            </w:r>
          </w:p>
        </w:tc>
        <w:tc>
          <w:tcPr>
            <w:tcW w:w="2551" w:type="dxa"/>
          </w:tcPr>
          <w:p w14:paraId="4842163F" w14:textId="77777777" w:rsidR="00996BF9" w:rsidRDefault="00DC051D" w:rsidP="000E4DE7">
            <w:pPr>
              <w:jc w:val="both"/>
            </w:pPr>
            <w:r w:rsidRPr="00DC051D">
              <w:t>542931 - 542942</w:t>
            </w:r>
          </w:p>
        </w:tc>
      </w:tr>
      <w:tr w:rsidR="00DC051D" w14:paraId="2D0B3F02" w14:textId="77777777" w:rsidTr="002216DA">
        <w:tc>
          <w:tcPr>
            <w:tcW w:w="1413" w:type="dxa"/>
          </w:tcPr>
          <w:p w14:paraId="300BA881" w14:textId="77777777" w:rsidR="00DC051D" w:rsidRDefault="00DC051D" w:rsidP="000E4DE7">
            <w:pPr>
              <w:jc w:val="both"/>
            </w:pPr>
            <w:r>
              <w:t>GADA</w:t>
            </w:r>
          </w:p>
        </w:tc>
        <w:tc>
          <w:tcPr>
            <w:tcW w:w="5670" w:type="dxa"/>
          </w:tcPr>
          <w:p w14:paraId="4A4C29D0" w14:textId="77777777" w:rsidR="00DC051D" w:rsidRDefault="00DC051D" w:rsidP="000E4DE7">
            <w:pPr>
              <w:jc w:val="both"/>
            </w:pPr>
            <w:r>
              <w:t>Buiten nomenclatuur</w:t>
            </w:r>
          </w:p>
        </w:tc>
        <w:tc>
          <w:tcPr>
            <w:tcW w:w="2551" w:type="dxa"/>
          </w:tcPr>
          <w:p w14:paraId="66ECFF4E" w14:textId="77777777" w:rsidR="00DC051D" w:rsidRDefault="00DC051D" w:rsidP="000E4DE7">
            <w:pPr>
              <w:jc w:val="both"/>
            </w:pPr>
            <w:r>
              <w:t>25€</w:t>
            </w:r>
          </w:p>
        </w:tc>
      </w:tr>
      <w:tr w:rsidR="00DC051D" w14:paraId="03498543" w14:textId="77777777" w:rsidTr="002216DA">
        <w:tc>
          <w:tcPr>
            <w:tcW w:w="1413" w:type="dxa"/>
          </w:tcPr>
          <w:p w14:paraId="237D0A3E" w14:textId="77777777" w:rsidR="00DC051D" w:rsidRDefault="00DC051D" w:rsidP="00DC051D">
            <w:pPr>
              <w:jc w:val="both"/>
            </w:pPr>
            <w:r>
              <w:t>IA-2A</w:t>
            </w:r>
          </w:p>
        </w:tc>
        <w:tc>
          <w:tcPr>
            <w:tcW w:w="5670" w:type="dxa"/>
          </w:tcPr>
          <w:p w14:paraId="0EFEB030" w14:textId="77777777" w:rsidR="00DC051D" w:rsidRDefault="00DC051D" w:rsidP="00DC051D">
            <w:pPr>
              <w:jc w:val="both"/>
            </w:pPr>
            <w:r>
              <w:t>Buiten nomenclatuur</w:t>
            </w:r>
          </w:p>
        </w:tc>
        <w:tc>
          <w:tcPr>
            <w:tcW w:w="2551" w:type="dxa"/>
          </w:tcPr>
          <w:p w14:paraId="5BB9D5BC" w14:textId="77777777" w:rsidR="00DC051D" w:rsidRDefault="00DC051D" w:rsidP="00DC051D">
            <w:pPr>
              <w:jc w:val="both"/>
            </w:pPr>
            <w:r>
              <w:t>25€</w:t>
            </w:r>
          </w:p>
        </w:tc>
      </w:tr>
      <w:tr w:rsidR="00DC051D" w14:paraId="01A541E9" w14:textId="77777777" w:rsidTr="002216DA">
        <w:tc>
          <w:tcPr>
            <w:tcW w:w="1413" w:type="dxa"/>
          </w:tcPr>
          <w:p w14:paraId="368A0766" w14:textId="77777777" w:rsidR="00DC051D" w:rsidRDefault="00DC051D" w:rsidP="00DC051D">
            <w:pPr>
              <w:jc w:val="both"/>
            </w:pPr>
            <w:r>
              <w:t>ZnT8A</w:t>
            </w:r>
          </w:p>
        </w:tc>
        <w:tc>
          <w:tcPr>
            <w:tcW w:w="5670" w:type="dxa"/>
          </w:tcPr>
          <w:p w14:paraId="684AA667" w14:textId="77777777" w:rsidR="00DC051D" w:rsidRDefault="00DC051D" w:rsidP="00DC051D">
            <w:pPr>
              <w:jc w:val="both"/>
            </w:pPr>
            <w:r>
              <w:t>Buiten nomenclatuur</w:t>
            </w:r>
          </w:p>
        </w:tc>
        <w:tc>
          <w:tcPr>
            <w:tcW w:w="2551" w:type="dxa"/>
          </w:tcPr>
          <w:p w14:paraId="12DE9FCD" w14:textId="77777777" w:rsidR="00DC051D" w:rsidRDefault="00DC051D" w:rsidP="00DC051D">
            <w:pPr>
              <w:jc w:val="both"/>
            </w:pPr>
            <w:r>
              <w:t>25€</w:t>
            </w:r>
          </w:p>
        </w:tc>
      </w:tr>
      <w:tr w:rsidR="00544302" w14:paraId="43124892" w14:textId="77777777" w:rsidTr="002216DA">
        <w:tc>
          <w:tcPr>
            <w:tcW w:w="1413" w:type="dxa"/>
          </w:tcPr>
          <w:p w14:paraId="3BDE313B" w14:textId="77777777" w:rsidR="00544302" w:rsidRDefault="00544302" w:rsidP="00DC051D">
            <w:pPr>
              <w:jc w:val="both"/>
            </w:pPr>
            <w:r>
              <w:t>C-peptide</w:t>
            </w:r>
          </w:p>
        </w:tc>
        <w:tc>
          <w:tcPr>
            <w:tcW w:w="5670" w:type="dxa"/>
          </w:tcPr>
          <w:p w14:paraId="56137701" w14:textId="77777777" w:rsidR="000E72D2" w:rsidRDefault="000E72D2" w:rsidP="00DC051D">
            <w:pPr>
              <w:jc w:val="both"/>
            </w:pPr>
            <w:r>
              <w:t xml:space="preserve">Cumulregel </w:t>
            </w:r>
            <w:r w:rsidRPr="000E72D2">
              <w:t>322 en 89</w:t>
            </w:r>
          </w:p>
          <w:p w14:paraId="43C94D1C" w14:textId="77777777" w:rsidR="00544302" w:rsidRDefault="000E72D2" w:rsidP="00DC051D">
            <w:pPr>
              <w:jc w:val="both"/>
            </w:pPr>
            <w:r w:rsidRPr="000E72D2">
              <w:t xml:space="preserve">Wanneer meer dan vijf doseringen van een hormoon worden verricht bij een stimulatie- of remmingsproef of bij de evaluatie van een </w:t>
            </w:r>
            <w:proofErr w:type="spellStart"/>
            <w:r w:rsidRPr="000E72D2">
              <w:t>nycthemerale</w:t>
            </w:r>
            <w:proofErr w:type="spellEnd"/>
            <w:r w:rsidRPr="000E72D2">
              <w:t xml:space="preserve"> cyclus, mogen maximum vijf doseringen worden aangerekend aan de ZIV.</w:t>
            </w:r>
          </w:p>
        </w:tc>
        <w:tc>
          <w:tcPr>
            <w:tcW w:w="2551" w:type="dxa"/>
          </w:tcPr>
          <w:p w14:paraId="1CA00CA8" w14:textId="77777777" w:rsidR="00544302" w:rsidRDefault="000E72D2" w:rsidP="00DC051D">
            <w:pPr>
              <w:jc w:val="both"/>
            </w:pPr>
            <w:r w:rsidRPr="000E72D2">
              <w:t>559134 - 559145</w:t>
            </w:r>
          </w:p>
        </w:tc>
      </w:tr>
      <w:tr w:rsidR="00544302" w14:paraId="045C653E" w14:textId="77777777" w:rsidTr="002216DA">
        <w:tc>
          <w:tcPr>
            <w:tcW w:w="1413" w:type="dxa"/>
          </w:tcPr>
          <w:p w14:paraId="2F76E414" w14:textId="77777777" w:rsidR="00544302" w:rsidRDefault="00544302" w:rsidP="00DC051D">
            <w:pPr>
              <w:jc w:val="both"/>
            </w:pPr>
            <w:r>
              <w:t>Insuline</w:t>
            </w:r>
          </w:p>
        </w:tc>
        <w:tc>
          <w:tcPr>
            <w:tcW w:w="5670" w:type="dxa"/>
          </w:tcPr>
          <w:p w14:paraId="7F18A156" w14:textId="77777777" w:rsidR="000E72D2" w:rsidRDefault="000E72D2" w:rsidP="000E72D2">
            <w:pPr>
              <w:jc w:val="both"/>
            </w:pPr>
            <w:r>
              <w:t>Cumulregel 221 en 322</w:t>
            </w:r>
          </w:p>
          <w:p w14:paraId="6EF26AC8" w14:textId="77777777" w:rsidR="00544302" w:rsidRDefault="000E72D2" w:rsidP="00DC051D">
            <w:pPr>
              <w:jc w:val="both"/>
            </w:pPr>
            <w:r w:rsidRPr="000E72D2">
              <w:t xml:space="preserve">Wanneer meer dan vijf doseringen van een hormoon worden verricht bij een stimulatie- of remmingsproef of bij de evaluatie van een </w:t>
            </w:r>
            <w:proofErr w:type="spellStart"/>
            <w:r w:rsidRPr="000E72D2">
              <w:t>nycthemerale</w:t>
            </w:r>
            <w:proofErr w:type="spellEnd"/>
            <w:r w:rsidRPr="000E72D2">
              <w:t xml:space="preserve"> cyclus, mogen maximum vijf doseringen worden aangerekend aan de ZIV.</w:t>
            </w:r>
          </w:p>
        </w:tc>
        <w:tc>
          <w:tcPr>
            <w:tcW w:w="2551" w:type="dxa"/>
          </w:tcPr>
          <w:p w14:paraId="64F77550" w14:textId="77777777" w:rsidR="00544302" w:rsidRDefault="000E72D2" w:rsidP="00DC051D">
            <w:pPr>
              <w:jc w:val="both"/>
            </w:pPr>
            <w:r w:rsidRPr="000E72D2">
              <w:t>546092 - 546103</w:t>
            </w:r>
          </w:p>
        </w:tc>
      </w:tr>
      <w:tr w:rsidR="00544302" w14:paraId="74837F34" w14:textId="77777777" w:rsidTr="002216DA">
        <w:tc>
          <w:tcPr>
            <w:tcW w:w="1413" w:type="dxa"/>
          </w:tcPr>
          <w:p w14:paraId="67A4B391" w14:textId="77777777" w:rsidR="00544302" w:rsidRDefault="00544302" w:rsidP="00544302">
            <w:pPr>
              <w:jc w:val="both"/>
            </w:pPr>
            <w:r>
              <w:t>Pro-insuline</w:t>
            </w:r>
          </w:p>
        </w:tc>
        <w:tc>
          <w:tcPr>
            <w:tcW w:w="5670" w:type="dxa"/>
          </w:tcPr>
          <w:p w14:paraId="3489BCC9" w14:textId="77777777" w:rsidR="00544302" w:rsidRDefault="000E72D2" w:rsidP="00DC051D">
            <w:pPr>
              <w:jc w:val="both"/>
            </w:pPr>
            <w:r>
              <w:t>Diagnoseregel 146</w:t>
            </w:r>
          </w:p>
          <w:p w14:paraId="231C2F35" w14:textId="77777777" w:rsidR="000E72D2" w:rsidRDefault="000E72D2" w:rsidP="000E72D2">
            <w:r w:rsidRPr="000E72D2">
              <w:t xml:space="preserve">De verstrekking 545075-545086 mag enkel worden aangerekend wanneer zij worden voorgeschreven door een arts-specialist in één van de disciplines die tot de inwendige pathologie behoren in geval van </w:t>
            </w:r>
            <w:proofErr w:type="spellStart"/>
            <w:r w:rsidRPr="000E72D2">
              <w:t>hypoglycemie</w:t>
            </w:r>
            <w:proofErr w:type="spellEnd"/>
            <w:r w:rsidRPr="000E72D2">
              <w:t xml:space="preserve"> met het oog op de diagnose van een </w:t>
            </w:r>
            <w:proofErr w:type="spellStart"/>
            <w:r w:rsidRPr="000E72D2">
              <w:t>insulinoma</w:t>
            </w:r>
            <w:proofErr w:type="spellEnd"/>
            <w:r w:rsidRPr="000E72D2">
              <w:t xml:space="preserve"> en m</w:t>
            </w:r>
            <w:r>
              <w:t>aximum 5 keer per kalenderjaar.</w:t>
            </w:r>
          </w:p>
        </w:tc>
        <w:tc>
          <w:tcPr>
            <w:tcW w:w="2551" w:type="dxa"/>
          </w:tcPr>
          <w:p w14:paraId="0B4BC2F9" w14:textId="77777777" w:rsidR="00544302" w:rsidRDefault="000E72D2" w:rsidP="00DC051D">
            <w:pPr>
              <w:jc w:val="both"/>
            </w:pPr>
            <w:r w:rsidRPr="000E72D2">
              <w:t>545075 - 545086</w:t>
            </w:r>
          </w:p>
        </w:tc>
      </w:tr>
      <w:tr w:rsidR="00EE0814" w14:paraId="23B0DEDB" w14:textId="77777777" w:rsidTr="002216DA">
        <w:tc>
          <w:tcPr>
            <w:tcW w:w="1413" w:type="dxa"/>
          </w:tcPr>
          <w:p w14:paraId="73B3E94B" w14:textId="77777777" w:rsidR="00EE0814" w:rsidRDefault="00EE0814" w:rsidP="00EE0814">
            <w:pPr>
              <w:jc w:val="both"/>
            </w:pPr>
            <w:r>
              <w:t>Pro-insuline</w:t>
            </w:r>
          </w:p>
        </w:tc>
        <w:tc>
          <w:tcPr>
            <w:tcW w:w="5670" w:type="dxa"/>
          </w:tcPr>
          <w:p w14:paraId="5809E8BE" w14:textId="77777777" w:rsidR="00EE0814" w:rsidRDefault="00EE0814" w:rsidP="00EE0814">
            <w:pPr>
              <w:jc w:val="both"/>
            </w:pPr>
            <w:r>
              <w:t>Buiten nomenclatuur</w:t>
            </w:r>
          </w:p>
        </w:tc>
        <w:tc>
          <w:tcPr>
            <w:tcW w:w="2551" w:type="dxa"/>
          </w:tcPr>
          <w:p w14:paraId="0F329CAA" w14:textId="77777777" w:rsidR="00EE0814" w:rsidRDefault="00EE0814" w:rsidP="00EE0814">
            <w:pPr>
              <w:jc w:val="both"/>
            </w:pPr>
            <w:r>
              <w:t>18,75 €</w:t>
            </w:r>
          </w:p>
        </w:tc>
      </w:tr>
    </w:tbl>
    <w:p w14:paraId="53623AC5" w14:textId="77777777" w:rsidR="00CF0722" w:rsidRDefault="00CF0722" w:rsidP="000E4DE7">
      <w:pPr>
        <w:jc w:val="both"/>
      </w:pPr>
    </w:p>
    <w:p w14:paraId="7A756EC8" w14:textId="77777777" w:rsidR="00C03BAA" w:rsidRDefault="00C03BAA" w:rsidP="000E4DE7">
      <w:pPr>
        <w:jc w:val="both"/>
      </w:pPr>
      <w:r>
        <w:t>Zou ik mogen vragen om uw aanvragende artsen te verwittigen van deze wijzigingen?</w:t>
      </w:r>
    </w:p>
    <w:p w14:paraId="0627D8FC" w14:textId="77777777" w:rsidR="00C03BAA" w:rsidRDefault="00C03BAA" w:rsidP="000E4DE7">
      <w:pPr>
        <w:jc w:val="both"/>
      </w:pPr>
    </w:p>
    <w:p w14:paraId="41BBE56F" w14:textId="77777777" w:rsidR="00CF0722" w:rsidRDefault="00CF0722" w:rsidP="000E4DE7">
      <w:pPr>
        <w:jc w:val="both"/>
      </w:pPr>
      <w:r>
        <w:t>Voor vragen omtrent studies en BDR kan u te</w:t>
      </w:r>
      <w:r w:rsidR="007C5AC2">
        <w:t>recht bij p</w:t>
      </w:r>
      <w:r>
        <w:t xml:space="preserve">rof. Keymeulen op </w:t>
      </w:r>
      <w:r w:rsidR="002216DA">
        <w:t xml:space="preserve">per mail op bart.keymeulen@uzbrussel.be of telefonisch op </w:t>
      </w:r>
      <w:r w:rsidR="008225D0" w:rsidRPr="008225D0">
        <w:t>02 474 9034</w:t>
      </w:r>
      <w:r w:rsidR="00C03BAA">
        <w:t>.</w:t>
      </w:r>
      <w:r w:rsidR="002216DA">
        <w:t xml:space="preserve"> </w:t>
      </w:r>
      <w:r>
        <w:t xml:space="preserve">Voor vragen omtrent </w:t>
      </w:r>
      <w:proofErr w:type="spellStart"/>
      <w:r>
        <w:t>onderaanneming</w:t>
      </w:r>
      <w:proofErr w:type="spellEnd"/>
      <w:r w:rsidR="00EE0814">
        <w:t xml:space="preserve"> en facturatie</w:t>
      </w:r>
      <w:r>
        <w:t xml:space="preserve"> kan u te recht bij prof. dr. Ilse Weets per mail op ilse.weets@uzbrussel.be of via telefoon op 02 477 50 30.</w:t>
      </w:r>
    </w:p>
    <w:p w14:paraId="605D9B67" w14:textId="77777777" w:rsidR="00CF0722" w:rsidRDefault="00CF0722" w:rsidP="000E4DE7">
      <w:pPr>
        <w:jc w:val="both"/>
      </w:pPr>
    </w:p>
    <w:p w14:paraId="021FB496" w14:textId="77777777" w:rsidR="00CF0722" w:rsidRDefault="00CF0722" w:rsidP="000E4DE7">
      <w:pPr>
        <w:jc w:val="both"/>
      </w:pPr>
      <w:r>
        <w:t>Vriendelijke groeten,</w:t>
      </w:r>
    </w:p>
    <w:p w14:paraId="155F7CC4" w14:textId="77777777" w:rsidR="00CF0722" w:rsidRDefault="00CF0722" w:rsidP="000E4DE7">
      <w:pPr>
        <w:jc w:val="both"/>
      </w:pPr>
      <w:r>
        <w:t>prof.</w:t>
      </w:r>
      <w:r w:rsidR="008225D0">
        <w:t xml:space="preserve"> </w:t>
      </w:r>
      <w:r>
        <w:t>dr. Ilse Weets</w:t>
      </w:r>
    </w:p>
    <w:p w14:paraId="0B422D5F" w14:textId="77777777" w:rsidR="00DC157F" w:rsidRDefault="00DC157F" w:rsidP="000E4DE7">
      <w:pPr>
        <w:jc w:val="both"/>
      </w:pPr>
    </w:p>
    <w:p w14:paraId="04D3488B" w14:textId="77777777" w:rsidR="002216DA" w:rsidRDefault="002216DA" w:rsidP="000E4DE7">
      <w:pPr>
        <w:jc w:val="both"/>
      </w:pPr>
    </w:p>
    <w:p w14:paraId="3892A45C" w14:textId="77777777" w:rsidR="002216DA" w:rsidRDefault="002216DA" w:rsidP="000E4DE7">
      <w:pPr>
        <w:jc w:val="both"/>
      </w:pPr>
    </w:p>
    <w:p w14:paraId="6CB8292C" w14:textId="77777777" w:rsidR="00DC157F" w:rsidRPr="00FA158C" w:rsidRDefault="00DC157F" w:rsidP="00DC157F">
      <w:pPr>
        <w:jc w:val="both"/>
        <w:rPr>
          <w:b/>
          <w:lang w:val="fr-FR"/>
        </w:rPr>
      </w:pPr>
      <w:r w:rsidRPr="00FA158C">
        <w:rPr>
          <w:b/>
          <w:lang w:val="fr-FR"/>
        </w:rPr>
        <w:lastRenderedPageBreak/>
        <w:t>1. Nouvelles méthodes</w:t>
      </w:r>
    </w:p>
    <w:p w14:paraId="70106F53" w14:textId="77777777" w:rsidR="00DC157F" w:rsidRPr="00FA158C" w:rsidRDefault="00E46F76" w:rsidP="00DC157F">
      <w:pPr>
        <w:jc w:val="both"/>
        <w:rPr>
          <w:lang w:val="fr-FR"/>
        </w:rPr>
      </w:pPr>
      <w:r>
        <w:rPr>
          <w:lang w:val="fr-FR"/>
        </w:rPr>
        <w:t>À partir du 2</w:t>
      </w:r>
      <w:r w:rsidR="00DC157F" w:rsidRPr="00FA158C">
        <w:rPr>
          <w:lang w:val="fr-FR"/>
        </w:rPr>
        <w:t xml:space="preserve"> </w:t>
      </w:r>
      <w:r>
        <w:rPr>
          <w:lang w:val="fr-FR"/>
        </w:rPr>
        <w:t>octobre</w:t>
      </w:r>
      <w:r w:rsidR="00DC157F" w:rsidRPr="00FA158C">
        <w:rPr>
          <w:lang w:val="fr-FR"/>
        </w:rPr>
        <w:t xml:space="preserve"> 2023, les dosages des anticorps anti-glutamate décarboxylase (GADA), des anticorps IA2 (IA-2A) et des anticorps anti-transporteur de zinc 8 (ZnT8A) seront effectués par une nouvelle méthode. Cette nouvelle méthode donne de très bons résultats </w:t>
      </w:r>
      <w:r w:rsidR="002216DA" w:rsidRPr="002216DA">
        <w:rPr>
          <w:lang w:val="fr-FR"/>
        </w:rPr>
        <w:t>–</w:t>
      </w:r>
      <w:r w:rsidR="00542C14">
        <w:rPr>
          <w:lang w:val="fr-FR"/>
        </w:rPr>
        <w:t xml:space="preserve"> et pour GADA et ZnT8A, </w:t>
      </w:r>
      <w:r w:rsidR="00DC157F" w:rsidRPr="00FA158C">
        <w:rPr>
          <w:lang w:val="fr-FR"/>
        </w:rPr>
        <w:t xml:space="preserve">elle est même supérieure au test radio-immunologique </w:t>
      </w:r>
      <w:r w:rsidR="00D04C99">
        <w:rPr>
          <w:lang w:val="fr-FR"/>
        </w:rPr>
        <w:t xml:space="preserve">state-of-the </w:t>
      </w:r>
      <w:r w:rsidR="002216DA">
        <w:rPr>
          <w:lang w:val="fr-FR"/>
        </w:rPr>
        <w:t>art</w:t>
      </w:r>
      <w:r w:rsidR="00DC157F" w:rsidRPr="00FA158C">
        <w:rPr>
          <w:lang w:val="fr-FR"/>
        </w:rPr>
        <w:t xml:space="preserve"> </w:t>
      </w:r>
      <w:r w:rsidR="002216DA" w:rsidRPr="002216DA">
        <w:rPr>
          <w:lang w:val="fr-FR"/>
        </w:rPr>
        <w:t>–</w:t>
      </w:r>
      <w:r w:rsidR="00DC157F" w:rsidRPr="00FA158C">
        <w:rPr>
          <w:lang w:val="fr-FR"/>
        </w:rPr>
        <w:t xml:space="preserve"> dans le programme de standardisation des auto-anticorps associés au diabète (IASP). Ce consortium vise à améliorer les performances des </w:t>
      </w:r>
      <w:proofErr w:type="spellStart"/>
      <w:r w:rsidR="00DC157F" w:rsidRPr="00FA158C">
        <w:rPr>
          <w:lang w:val="fr-FR"/>
        </w:rPr>
        <w:t>immuno</w:t>
      </w:r>
      <w:r w:rsidR="00D04C99">
        <w:rPr>
          <w:lang w:val="fr-FR"/>
        </w:rPr>
        <w:t>essais</w:t>
      </w:r>
      <w:proofErr w:type="spellEnd"/>
      <w:r w:rsidR="00D04C99">
        <w:rPr>
          <w:lang w:val="fr-FR"/>
        </w:rPr>
        <w:t xml:space="preserve"> </w:t>
      </w:r>
      <w:r w:rsidR="00DC157F" w:rsidRPr="00FA158C">
        <w:rPr>
          <w:lang w:val="fr-FR"/>
        </w:rPr>
        <w:t xml:space="preserve">pour la détermination des auto-anticorps associés au diabète et </w:t>
      </w:r>
      <w:r w:rsidR="00542C14">
        <w:rPr>
          <w:lang w:val="fr-FR"/>
        </w:rPr>
        <w:t xml:space="preserve">s’efforce </w:t>
      </w:r>
      <w:r w:rsidR="00DC157F" w:rsidRPr="00FA158C">
        <w:rPr>
          <w:lang w:val="fr-FR"/>
        </w:rPr>
        <w:t>également</w:t>
      </w:r>
      <w:r w:rsidR="00542C14">
        <w:rPr>
          <w:lang w:val="fr-FR"/>
        </w:rPr>
        <w:t xml:space="preserve"> de </w:t>
      </w:r>
      <w:r w:rsidR="00DC157F" w:rsidRPr="00FA158C">
        <w:rPr>
          <w:lang w:val="fr-FR"/>
        </w:rPr>
        <w:t>standardis</w:t>
      </w:r>
      <w:r w:rsidR="00542C14">
        <w:rPr>
          <w:lang w:val="fr-FR"/>
        </w:rPr>
        <w:t xml:space="preserve">er </w:t>
      </w:r>
      <w:r w:rsidR="00DC157F" w:rsidRPr="00FA158C">
        <w:rPr>
          <w:lang w:val="fr-FR"/>
        </w:rPr>
        <w:t>ce</w:t>
      </w:r>
      <w:r w:rsidR="00001766">
        <w:rPr>
          <w:lang w:val="fr-FR"/>
        </w:rPr>
        <w:t xml:space="preserve">s </w:t>
      </w:r>
      <w:r w:rsidR="00DC157F" w:rsidRPr="00FA158C">
        <w:rPr>
          <w:lang w:val="fr-FR"/>
        </w:rPr>
        <w:t xml:space="preserve">déterminations. </w:t>
      </w:r>
      <w:r w:rsidR="00542C14">
        <w:rPr>
          <w:lang w:val="fr-FR"/>
        </w:rPr>
        <w:t>L</w:t>
      </w:r>
      <w:r w:rsidR="00DC157F" w:rsidRPr="00FA158C">
        <w:rPr>
          <w:lang w:val="fr-FR"/>
        </w:rPr>
        <w:t xml:space="preserve">'IASP organise des comparaisons internationales </w:t>
      </w:r>
      <w:proofErr w:type="spellStart"/>
      <w:r w:rsidR="00DC157F" w:rsidRPr="00FA158C">
        <w:rPr>
          <w:lang w:val="fr-FR"/>
        </w:rPr>
        <w:t>interlaboratoires</w:t>
      </w:r>
      <w:proofErr w:type="spellEnd"/>
      <w:r w:rsidR="00DC157F" w:rsidRPr="00FA158C">
        <w:rPr>
          <w:lang w:val="fr-FR"/>
        </w:rPr>
        <w:t xml:space="preserve"> </w:t>
      </w:r>
      <w:r w:rsidR="00001766">
        <w:rPr>
          <w:lang w:val="fr-FR"/>
        </w:rPr>
        <w:t>dans les</w:t>
      </w:r>
      <w:r w:rsidR="00DC157F" w:rsidRPr="00FA158C">
        <w:rPr>
          <w:lang w:val="fr-FR"/>
        </w:rPr>
        <w:t xml:space="preserve">quelles des échantillons de sérum de patients (n = 50) et de </w:t>
      </w:r>
      <w:r w:rsidR="002216DA">
        <w:rPr>
          <w:lang w:val="fr-FR"/>
        </w:rPr>
        <w:t>contrôles</w:t>
      </w:r>
      <w:r w:rsidR="00DC157F" w:rsidRPr="00FA158C">
        <w:rPr>
          <w:lang w:val="fr-FR"/>
        </w:rPr>
        <w:t xml:space="preserve"> (n = 100) sont distribués et traités de manière centralisée. Chaque laboratoire obtient ses résultats de sensibilité et de spécificité pour les différents paramètres, et ce</w:t>
      </w:r>
      <w:r w:rsidR="00FA158C" w:rsidRPr="00FA158C">
        <w:rPr>
          <w:lang w:val="fr-FR"/>
        </w:rPr>
        <w:t>ci</w:t>
      </w:r>
      <w:r w:rsidR="00DC157F" w:rsidRPr="00FA158C">
        <w:rPr>
          <w:lang w:val="fr-FR"/>
        </w:rPr>
        <w:t xml:space="preserve"> en comparaison avec les autres laboratoires participants. Notre laboratoire obtient de très bons résultats dans ce programme et nous souhaitons qu'il en reste ainsi.</w:t>
      </w:r>
      <w:r w:rsidR="00274C7D">
        <w:rPr>
          <w:lang w:val="fr-FR"/>
        </w:rPr>
        <w:t xml:space="preserve"> </w:t>
      </w:r>
      <w:r w:rsidR="00A43121">
        <w:rPr>
          <w:lang w:val="fr-FR"/>
        </w:rPr>
        <w:t>Il</w:t>
      </w:r>
      <w:r w:rsidR="00274C7D" w:rsidRPr="00274C7D">
        <w:rPr>
          <w:lang w:val="fr-FR"/>
        </w:rPr>
        <w:t xml:space="preserve"> est important de souligner que plusieurs tests ELISA disponibles sur le marché</w:t>
      </w:r>
      <w:r w:rsidR="001D6CCD">
        <w:rPr>
          <w:lang w:val="fr-FR"/>
        </w:rPr>
        <w:t>,</w:t>
      </w:r>
      <w:r w:rsidR="00274C7D" w:rsidRPr="00274C7D">
        <w:rPr>
          <w:lang w:val="fr-FR"/>
        </w:rPr>
        <w:t xml:space="preserve"> présentent une sensibilité et une spécificité </w:t>
      </w:r>
      <w:r w:rsidR="002216DA">
        <w:rPr>
          <w:lang w:val="fr-FR"/>
        </w:rPr>
        <w:t>inférieure</w:t>
      </w:r>
      <w:r w:rsidR="00274C7D" w:rsidRPr="00274C7D">
        <w:rPr>
          <w:lang w:val="fr-FR"/>
        </w:rPr>
        <w:t>.</w:t>
      </w:r>
    </w:p>
    <w:p w14:paraId="418BA42F" w14:textId="77777777" w:rsidR="00FA158C" w:rsidRPr="00FA158C" w:rsidRDefault="00FA158C" w:rsidP="00DC157F">
      <w:pPr>
        <w:jc w:val="both"/>
        <w:rPr>
          <w:lang w:val="fr-FR"/>
        </w:rPr>
      </w:pPr>
    </w:p>
    <w:p w14:paraId="2526819B" w14:textId="77777777" w:rsidR="00FA158C" w:rsidRPr="00FA158C" w:rsidRDefault="00FA158C" w:rsidP="00FA158C">
      <w:pPr>
        <w:jc w:val="both"/>
        <w:rPr>
          <w:lang w:val="fr-FR"/>
        </w:rPr>
      </w:pPr>
      <w:r w:rsidRPr="00FA158C">
        <w:rPr>
          <w:lang w:val="fr-FR"/>
        </w:rPr>
        <w:t>Comparaison de sensi</w:t>
      </w:r>
      <w:r w:rsidR="00EF0CEB">
        <w:rPr>
          <w:lang w:val="fr-FR"/>
        </w:rPr>
        <w:t xml:space="preserve">bilité </w:t>
      </w:r>
      <w:r w:rsidRPr="00FA158C">
        <w:rPr>
          <w:lang w:val="fr-FR"/>
        </w:rPr>
        <w:t>et</w:t>
      </w:r>
      <w:r w:rsidR="00EF0CEB">
        <w:rPr>
          <w:lang w:val="fr-FR"/>
        </w:rPr>
        <w:t xml:space="preserve"> </w:t>
      </w:r>
      <w:r w:rsidRPr="00FA158C">
        <w:rPr>
          <w:lang w:val="fr-FR"/>
        </w:rPr>
        <w:t>spécifi</w:t>
      </w:r>
      <w:r>
        <w:rPr>
          <w:lang w:val="fr-FR"/>
        </w:rPr>
        <w:t>ci</w:t>
      </w:r>
      <w:r w:rsidRPr="00FA158C">
        <w:rPr>
          <w:lang w:val="fr-FR"/>
        </w:rPr>
        <w:t xml:space="preserve">té </w:t>
      </w:r>
      <w:r w:rsidR="002216DA">
        <w:rPr>
          <w:lang w:val="fr-FR"/>
        </w:rPr>
        <w:t xml:space="preserve">de la méthode précédente et </w:t>
      </w:r>
      <w:r w:rsidR="00EF0CEB">
        <w:rPr>
          <w:lang w:val="fr-FR"/>
        </w:rPr>
        <w:t xml:space="preserve">la </w:t>
      </w:r>
      <w:r w:rsidR="002216DA">
        <w:rPr>
          <w:lang w:val="fr-FR"/>
        </w:rPr>
        <w:t>nouvelle</w:t>
      </w:r>
      <w:r w:rsidR="00EF0CEB">
        <w:rPr>
          <w:lang w:val="fr-FR"/>
        </w:rPr>
        <w:t xml:space="preserve"> méthode</w:t>
      </w:r>
      <w:r w:rsidRPr="00FA158C">
        <w:rPr>
          <w:lang w:val="fr-FR"/>
        </w:rPr>
        <w:t xml:space="preserve"> (IASP 2023)</w:t>
      </w:r>
    </w:p>
    <w:tbl>
      <w:tblPr>
        <w:tblStyle w:val="Tabelraster"/>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1812"/>
        <w:gridCol w:w="1812"/>
        <w:gridCol w:w="1812"/>
        <w:gridCol w:w="1813"/>
        <w:gridCol w:w="1813"/>
      </w:tblGrid>
      <w:tr w:rsidR="00FA158C" w:rsidRPr="00FA158C" w14:paraId="7284C28A" w14:textId="77777777" w:rsidTr="00A86567">
        <w:tc>
          <w:tcPr>
            <w:tcW w:w="1812" w:type="dxa"/>
          </w:tcPr>
          <w:p w14:paraId="5146EBAD" w14:textId="77777777" w:rsidR="00FA158C" w:rsidRPr="00FA158C" w:rsidRDefault="00FA158C" w:rsidP="00FA158C">
            <w:pPr>
              <w:jc w:val="both"/>
              <w:rPr>
                <w:b/>
                <w:lang w:val="fr-FR"/>
              </w:rPr>
            </w:pPr>
            <w:r w:rsidRPr="00FA158C">
              <w:rPr>
                <w:b/>
                <w:lang w:val="fr-FR"/>
              </w:rPr>
              <w:t>Marqueur</w:t>
            </w:r>
          </w:p>
        </w:tc>
        <w:tc>
          <w:tcPr>
            <w:tcW w:w="3624" w:type="dxa"/>
            <w:gridSpan w:val="2"/>
            <w:vAlign w:val="center"/>
          </w:tcPr>
          <w:p w14:paraId="28CC39EB" w14:textId="77777777" w:rsidR="00FA158C" w:rsidRPr="00FA158C" w:rsidRDefault="00FA158C" w:rsidP="00A86567">
            <w:pPr>
              <w:jc w:val="center"/>
              <w:rPr>
                <w:b/>
                <w:lang w:val="fr-FR"/>
              </w:rPr>
            </w:pPr>
            <w:r w:rsidRPr="00FA158C">
              <w:rPr>
                <w:b/>
                <w:lang w:val="fr-FR"/>
              </w:rPr>
              <w:t>Méthode précédente (RIA)</w:t>
            </w:r>
          </w:p>
        </w:tc>
        <w:tc>
          <w:tcPr>
            <w:tcW w:w="3626" w:type="dxa"/>
            <w:gridSpan w:val="2"/>
            <w:vAlign w:val="center"/>
          </w:tcPr>
          <w:p w14:paraId="3DD6BFB1" w14:textId="77777777" w:rsidR="00FA158C" w:rsidRPr="00FA158C" w:rsidRDefault="00FA158C" w:rsidP="00FA158C">
            <w:pPr>
              <w:jc w:val="center"/>
              <w:rPr>
                <w:b/>
                <w:lang w:val="fr-FR"/>
              </w:rPr>
            </w:pPr>
            <w:r w:rsidRPr="00FA158C">
              <w:rPr>
                <w:b/>
                <w:lang w:val="fr-FR"/>
              </w:rPr>
              <w:t>Nouvelle méthode (ELISA)</w:t>
            </w:r>
          </w:p>
        </w:tc>
      </w:tr>
      <w:tr w:rsidR="00FA158C" w:rsidRPr="00FA158C" w14:paraId="7FA70443" w14:textId="77777777" w:rsidTr="00A86567">
        <w:tc>
          <w:tcPr>
            <w:tcW w:w="1812" w:type="dxa"/>
          </w:tcPr>
          <w:p w14:paraId="6A280EC8" w14:textId="77777777" w:rsidR="00FA158C" w:rsidRPr="00FA158C" w:rsidRDefault="00FA158C" w:rsidP="00FA158C">
            <w:pPr>
              <w:jc w:val="both"/>
              <w:rPr>
                <w:lang w:val="fr-FR"/>
              </w:rPr>
            </w:pPr>
          </w:p>
        </w:tc>
        <w:tc>
          <w:tcPr>
            <w:tcW w:w="1812" w:type="dxa"/>
            <w:vAlign w:val="center"/>
          </w:tcPr>
          <w:p w14:paraId="1DCC092B" w14:textId="77777777" w:rsidR="00FA158C" w:rsidRPr="00FA158C" w:rsidRDefault="00FA158C" w:rsidP="00EF0CEB">
            <w:pPr>
              <w:jc w:val="center"/>
              <w:rPr>
                <w:b/>
                <w:lang w:val="fr-FR"/>
              </w:rPr>
            </w:pPr>
            <w:r w:rsidRPr="00FA158C">
              <w:rPr>
                <w:b/>
                <w:lang w:val="fr-FR"/>
              </w:rPr>
              <w:t>Sensi</w:t>
            </w:r>
            <w:r w:rsidR="00EF0CEB">
              <w:rPr>
                <w:b/>
                <w:lang w:val="fr-FR"/>
              </w:rPr>
              <w:t>bili</w:t>
            </w:r>
            <w:r w:rsidRPr="00FA158C">
              <w:rPr>
                <w:b/>
                <w:lang w:val="fr-FR"/>
              </w:rPr>
              <w:t>té</w:t>
            </w:r>
          </w:p>
        </w:tc>
        <w:tc>
          <w:tcPr>
            <w:tcW w:w="1812" w:type="dxa"/>
            <w:vAlign w:val="center"/>
          </w:tcPr>
          <w:p w14:paraId="3788696C" w14:textId="77777777" w:rsidR="00FA158C" w:rsidRPr="00FA158C" w:rsidRDefault="00FA158C" w:rsidP="00FA158C">
            <w:pPr>
              <w:jc w:val="center"/>
              <w:rPr>
                <w:b/>
                <w:lang w:val="fr-FR"/>
              </w:rPr>
            </w:pPr>
            <w:r w:rsidRPr="00FA158C">
              <w:rPr>
                <w:b/>
                <w:lang w:val="fr-FR"/>
              </w:rPr>
              <w:t>Spécificité</w:t>
            </w:r>
          </w:p>
        </w:tc>
        <w:tc>
          <w:tcPr>
            <w:tcW w:w="1813" w:type="dxa"/>
            <w:vAlign w:val="center"/>
          </w:tcPr>
          <w:p w14:paraId="074133EC" w14:textId="77777777" w:rsidR="00FA158C" w:rsidRPr="00FA158C" w:rsidRDefault="00FA158C" w:rsidP="00EF0CEB">
            <w:pPr>
              <w:jc w:val="center"/>
              <w:rPr>
                <w:b/>
                <w:lang w:val="fr-FR"/>
              </w:rPr>
            </w:pPr>
            <w:r w:rsidRPr="00FA158C">
              <w:rPr>
                <w:b/>
                <w:lang w:val="fr-FR"/>
              </w:rPr>
              <w:t>Sensi</w:t>
            </w:r>
            <w:r w:rsidR="00EF0CEB">
              <w:rPr>
                <w:b/>
                <w:lang w:val="fr-FR"/>
              </w:rPr>
              <w:t>bilit</w:t>
            </w:r>
            <w:r w:rsidRPr="00FA158C">
              <w:rPr>
                <w:b/>
                <w:lang w:val="fr-FR"/>
              </w:rPr>
              <w:t>é</w:t>
            </w:r>
          </w:p>
        </w:tc>
        <w:tc>
          <w:tcPr>
            <w:tcW w:w="1813" w:type="dxa"/>
            <w:vAlign w:val="center"/>
          </w:tcPr>
          <w:p w14:paraId="6B71967C" w14:textId="77777777" w:rsidR="00FA158C" w:rsidRPr="00FA158C" w:rsidRDefault="00FA158C" w:rsidP="00FA158C">
            <w:pPr>
              <w:jc w:val="center"/>
              <w:rPr>
                <w:b/>
                <w:lang w:val="fr-FR"/>
              </w:rPr>
            </w:pPr>
            <w:r w:rsidRPr="00FA158C">
              <w:rPr>
                <w:b/>
                <w:lang w:val="fr-FR"/>
              </w:rPr>
              <w:t>Spécificité</w:t>
            </w:r>
          </w:p>
        </w:tc>
      </w:tr>
      <w:tr w:rsidR="00FA158C" w:rsidRPr="00FA158C" w14:paraId="09D8E4E2" w14:textId="77777777" w:rsidTr="00A86567">
        <w:tc>
          <w:tcPr>
            <w:tcW w:w="1812" w:type="dxa"/>
          </w:tcPr>
          <w:p w14:paraId="455B69DD" w14:textId="77777777" w:rsidR="00FA158C" w:rsidRPr="00FA158C" w:rsidRDefault="00FA158C" w:rsidP="00A86567">
            <w:pPr>
              <w:jc w:val="both"/>
              <w:rPr>
                <w:b/>
                <w:lang w:val="fr-FR"/>
              </w:rPr>
            </w:pPr>
            <w:r w:rsidRPr="00FA158C">
              <w:rPr>
                <w:b/>
                <w:lang w:val="fr-FR"/>
              </w:rPr>
              <w:t>GADA</w:t>
            </w:r>
          </w:p>
        </w:tc>
        <w:tc>
          <w:tcPr>
            <w:tcW w:w="1812" w:type="dxa"/>
            <w:vAlign w:val="center"/>
          </w:tcPr>
          <w:p w14:paraId="5EF90FEF" w14:textId="77777777" w:rsidR="00FA158C" w:rsidRPr="00FA158C" w:rsidRDefault="00FA158C" w:rsidP="00A86567">
            <w:pPr>
              <w:jc w:val="center"/>
              <w:rPr>
                <w:lang w:val="fr-FR"/>
              </w:rPr>
            </w:pPr>
            <w:r w:rsidRPr="00FA158C">
              <w:rPr>
                <w:lang w:val="fr-FR"/>
              </w:rPr>
              <w:t>70%</w:t>
            </w:r>
          </w:p>
        </w:tc>
        <w:tc>
          <w:tcPr>
            <w:tcW w:w="1812" w:type="dxa"/>
            <w:vAlign w:val="center"/>
          </w:tcPr>
          <w:p w14:paraId="13E53D10" w14:textId="77777777" w:rsidR="00FA158C" w:rsidRPr="00FA158C" w:rsidRDefault="00FA158C" w:rsidP="00A86567">
            <w:pPr>
              <w:jc w:val="center"/>
              <w:rPr>
                <w:lang w:val="fr-FR"/>
              </w:rPr>
            </w:pPr>
            <w:r w:rsidRPr="00FA158C">
              <w:rPr>
                <w:lang w:val="fr-FR"/>
              </w:rPr>
              <w:t>99%</w:t>
            </w:r>
          </w:p>
        </w:tc>
        <w:tc>
          <w:tcPr>
            <w:tcW w:w="1813" w:type="dxa"/>
            <w:vAlign w:val="center"/>
          </w:tcPr>
          <w:p w14:paraId="5C643E3E" w14:textId="77777777" w:rsidR="00FA158C" w:rsidRPr="00FA158C" w:rsidRDefault="00FA158C" w:rsidP="00A86567">
            <w:pPr>
              <w:jc w:val="center"/>
              <w:rPr>
                <w:lang w:val="fr-FR"/>
              </w:rPr>
            </w:pPr>
            <w:r w:rsidRPr="00FA158C">
              <w:rPr>
                <w:lang w:val="fr-FR"/>
              </w:rPr>
              <w:t>84%</w:t>
            </w:r>
          </w:p>
        </w:tc>
        <w:tc>
          <w:tcPr>
            <w:tcW w:w="1813" w:type="dxa"/>
            <w:vAlign w:val="center"/>
          </w:tcPr>
          <w:p w14:paraId="0CB4A98B" w14:textId="77777777" w:rsidR="00FA158C" w:rsidRPr="00FA158C" w:rsidRDefault="00FA158C" w:rsidP="00A86567">
            <w:pPr>
              <w:jc w:val="center"/>
              <w:rPr>
                <w:lang w:val="fr-FR"/>
              </w:rPr>
            </w:pPr>
            <w:r w:rsidRPr="00FA158C">
              <w:rPr>
                <w:lang w:val="fr-FR"/>
              </w:rPr>
              <w:t>98%</w:t>
            </w:r>
          </w:p>
        </w:tc>
      </w:tr>
      <w:tr w:rsidR="00FA158C" w:rsidRPr="00FA158C" w14:paraId="7F286BE1" w14:textId="77777777" w:rsidTr="00A86567">
        <w:tc>
          <w:tcPr>
            <w:tcW w:w="1812" w:type="dxa"/>
          </w:tcPr>
          <w:p w14:paraId="60D16C18" w14:textId="77777777" w:rsidR="00FA158C" w:rsidRPr="00FA158C" w:rsidRDefault="00FA158C" w:rsidP="00A86567">
            <w:pPr>
              <w:jc w:val="both"/>
              <w:rPr>
                <w:b/>
                <w:lang w:val="fr-FR"/>
              </w:rPr>
            </w:pPr>
            <w:r w:rsidRPr="00FA158C">
              <w:rPr>
                <w:b/>
                <w:lang w:val="fr-FR"/>
              </w:rPr>
              <w:t>IA-2A</w:t>
            </w:r>
          </w:p>
        </w:tc>
        <w:tc>
          <w:tcPr>
            <w:tcW w:w="1812" w:type="dxa"/>
            <w:vAlign w:val="center"/>
          </w:tcPr>
          <w:p w14:paraId="5D2CC52F" w14:textId="77777777" w:rsidR="00FA158C" w:rsidRPr="00FA158C" w:rsidRDefault="00FA158C" w:rsidP="00A86567">
            <w:pPr>
              <w:jc w:val="center"/>
              <w:rPr>
                <w:lang w:val="fr-FR"/>
              </w:rPr>
            </w:pPr>
            <w:r w:rsidRPr="00FA158C">
              <w:rPr>
                <w:lang w:val="fr-FR"/>
              </w:rPr>
              <w:t>78%</w:t>
            </w:r>
          </w:p>
        </w:tc>
        <w:tc>
          <w:tcPr>
            <w:tcW w:w="1812" w:type="dxa"/>
            <w:vAlign w:val="center"/>
          </w:tcPr>
          <w:p w14:paraId="19958E91" w14:textId="77777777" w:rsidR="00FA158C" w:rsidRPr="00FA158C" w:rsidRDefault="00FA158C" w:rsidP="00A86567">
            <w:pPr>
              <w:jc w:val="center"/>
              <w:rPr>
                <w:lang w:val="fr-FR"/>
              </w:rPr>
            </w:pPr>
            <w:r w:rsidRPr="00FA158C">
              <w:rPr>
                <w:lang w:val="fr-FR"/>
              </w:rPr>
              <w:t>100%</w:t>
            </w:r>
          </w:p>
        </w:tc>
        <w:tc>
          <w:tcPr>
            <w:tcW w:w="1813" w:type="dxa"/>
            <w:vAlign w:val="center"/>
          </w:tcPr>
          <w:p w14:paraId="198B1922" w14:textId="77777777" w:rsidR="00FA158C" w:rsidRPr="00FA158C" w:rsidRDefault="00FA158C" w:rsidP="00A86567">
            <w:pPr>
              <w:jc w:val="center"/>
              <w:rPr>
                <w:lang w:val="fr-FR"/>
              </w:rPr>
            </w:pPr>
            <w:r w:rsidRPr="00FA158C">
              <w:rPr>
                <w:lang w:val="fr-FR"/>
              </w:rPr>
              <w:t>76%</w:t>
            </w:r>
          </w:p>
        </w:tc>
        <w:tc>
          <w:tcPr>
            <w:tcW w:w="1813" w:type="dxa"/>
            <w:vAlign w:val="center"/>
          </w:tcPr>
          <w:p w14:paraId="084FF9A2" w14:textId="77777777" w:rsidR="00FA158C" w:rsidRPr="00FA158C" w:rsidRDefault="00FA158C" w:rsidP="00A86567">
            <w:pPr>
              <w:jc w:val="center"/>
              <w:rPr>
                <w:lang w:val="fr-FR"/>
              </w:rPr>
            </w:pPr>
            <w:r w:rsidRPr="00FA158C">
              <w:rPr>
                <w:lang w:val="fr-FR"/>
              </w:rPr>
              <w:t>99%</w:t>
            </w:r>
          </w:p>
        </w:tc>
      </w:tr>
      <w:tr w:rsidR="00FA158C" w:rsidRPr="00FA158C" w14:paraId="1A23A059" w14:textId="77777777" w:rsidTr="00A86567">
        <w:tc>
          <w:tcPr>
            <w:tcW w:w="1812" w:type="dxa"/>
          </w:tcPr>
          <w:p w14:paraId="4CBF8123" w14:textId="77777777" w:rsidR="00FA158C" w:rsidRPr="00FA158C" w:rsidRDefault="00FA158C" w:rsidP="00A86567">
            <w:pPr>
              <w:jc w:val="both"/>
              <w:rPr>
                <w:b/>
                <w:lang w:val="fr-FR"/>
              </w:rPr>
            </w:pPr>
            <w:r w:rsidRPr="00FA158C">
              <w:rPr>
                <w:b/>
                <w:lang w:val="fr-FR"/>
              </w:rPr>
              <w:t>ZnT8A</w:t>
            </w:r>
          </w:p>
        </w:tc>
        <w:tc>
          <w:tcPr>
            <w:tcW w:w="1812" w:type="dxa"/>
            <w:vAlign w:val="center"/>
          </w:tcPr>
          <w:p w14:paraId="69C9F2DB" w14:textId="77777777" w:rsidR="00FA158C" w:rsidRPr="00FA158C" w:rsidRDefault="00FA158C" w:rsidP="00A86567">
            <w:pPr>
              <w:jc w:val="center"/>
              <w:rPr>
                <w:lang w:val="fr-FR"/>
              </w:rPr>
            </w:pPr>
            <w:r w:rsidRPr="00FA158C">
              <w:rPr>
                <w:lang w:val="fr-FR"/>
              </w:rPr>
              <w:t>60%</w:t>
            </w:r>
          </w:p>
        </w:tc>
        <w:tc>
          <w:tcPr>
            <w:tcW w:w="1812" w:type="dxa"/>
            <w:vAlign w:val="center"/>
          </w:tcPr>
          <w:p w14:paraId="03769EEB" w14:textId="77777777" w:rsidR="00FA158C" w:rsidRPr="00FA158C" w:rsidRDefault="00FA158C" w:rsidP="00A86567">
            <w:pPr>
              <w:jc w:val="center"/>
              <w:rPr>
                <w:lang w:val="fr-FR"/>
              </w:rPr>
            </w:pPr>
            <w:r w:rsidRPr="00FA158C">
              <w:rPr>
                <w:lang w:val="fr-FR"/>
              </w:rPr>
              <w:t>100%</w:t>
            </w:r>
          </w:p>
        </w:tc>
        <w:tc>
          <w:tcPr>
            <w:tcW w:w="1813" w:type="dxa"/>
            <w:vAlign w:val="center"/>
          </w:tcPr>
          <w:p w14:paraId="78BB4B4D" w14:textId="77777777" w:rsidR="00FA158C" w:rsidRPr="00FA158C" w:rsidRDefault="00FA158C" w:rsidP="00A86567">
            <w:pPr>
              <w:jc w:val="center"/>
              <w:rPr>
                <w:lang w:val="fr-FR"/>
              </w:rPr>
            </w:pPr>
            <w:r w:rsidRPr="00FA158C">
              <w:rPr>
                <w:lang w:val="fr-FR"/>
              </w:rPr>
              <w:t>76%</w:t>
            </w:r>
          </w:p>
        </w:tc>
        <w:tc>
          <w:tcPr>
            <w:tcW w:w="1813" w:type="dxa"/>
            <w:vAlign w:val="center"/>
          </w:tcPr>
          <w:p w14:paraId="4444B013" w14:textId="77777777" w:rsidR="00FA158C" w:rsidRPr="00FA158C" w:rsidRDefault="00FA158C" w:rsidP="00A86567">
            <w:pPr>
              <w:jc w:val="center"/>
              <w:rPr>
                <w:lang w:val="fr-FR"/>
              </w:rPr>
            </w:pPr>
            <w:r w:rsidRPr="00FA158C">
              <w:rPr>
                <w:lang w:val="fr-FR"/>
              </w:rPr>
              <w:t>99%</w:t>
            </w:r>
          </w:p>
        </w:tc>
      </w:tr>
    </w:tbl>
    <w:p w14:paraId="63CB28D5" w14:textId="77777777" w:rsidR="00FA158C" w:rsidRPr="00FA158C" w:rsidRDefault="00FA158C" w:rsidP="00FA158C">
      <w:pPr>
        <w:jc w:val="both"/>
        <w:rPr>
          <w:lang w:val="fr-FR"/>
        </w:rPr>
      </w:pPr>
    </w:p>
    <w:p w14:paraId="03EA5D8E" w14:textId="77777777" w:rsidR="00FA158C" w:rsidRPr="00FA158C" w:rsidRDefault="00FA158C" w:rsidP="00FA158C">
      <w:pPr>
        <w:jc w:val="both"/>
        <w:rPr>
          <w:lang w:val="fr-FR"/>
        </w:rPr>
      </w:pPr>
      <w:r w:rsidRPr="00FA158C">
        <w:rPr>
          <w:lang w:val="fr-FR"/>
        </w:rPr>
        <w:t xml:space="preserve">Les valeurs des deux méthodes ne sont pas comparables, </w:t>
      </w:r>
      <w:r w:rsidR="002216DA">
        <w:rPr>
          <w:lang w:val="fr-FR"/>
        </w:rPr>
        <w:t>une</w:t>
      </w:r>
      <w:r w:rsidRPr="00FA158C">
        <w:rPr>
          <w:lang w:val="fr-FR"/>
        </w:rPr>
        <w:t xml:space="preserve"> conversion n'est pas possible, elles </w:t>
      </w:r>
      <w:r>
        <w:rPr>
          <w:lang w:val="fr-FR"/>
        </w:rPr>
        <w:t xml:space="preserve">ont des </w:t>
      </w:r>
      <w:proofErr w:type="spellStart"/>
      <w:r>
        <w:rPr>
          <w:lang w:val="fr-FR"/>
        </w:rPr>
        <w:t>cut</w:t>
      </w:r>
      <w:proofErr w:type="spellEnd"/>
      <w:r>
        <w:rPr>
          <w:lang w:val="fr-FR"/>
        </w:rPr>
        <w:t>-off de</w:t>
      </w:r>
      <w:r w:rsidRPr="00FA158C">
        <w:rPr>
          <w:lang w:val="fr-FR"/>
        </w:rPr>
        <w:t xml:space="preserve"> positivité complètement différent. Les </w:t>
      </w:r>
      <w:r w:rsidR="00953489">
        <w:rPr>
          <w:lang w:val="fr-FR"/>
        </w:rPr>
        <w:t>nouvelles valeurs de référence</w:t>
      </w:r>
      <w:r w:rsidRPr="00FA158C">
        <w:rPr>
          <w:lang w:val="fr-FR"/>
        </w:rPr>
        <w:t xml:space="preserve"> </w:t>
      </w:r>
      <w:r>
        <w:rPr>
          <w:lang w:val="fr-FR"/>
        </w:rPr>
        <w:t>sont</w:t>
      </w:r>
      <w:r w:rsidR="00953489">
        <w:rPr>
          <w:lang w:val="fr-FR"/>
        </w:rPr>
        <w:t> :</w:t>
      </w:r>
    </w:p>
    <w:tbl>
      <w:tblPr>
        <w:tblStyle w:val="Tabelraster"/>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1838"/>
        <w:gridCol w:w="2410"/>
      </w:tblGrid>
      <w:tr w:rsidR="00953489" w:rsidRPr="00FA158C" w14:paraId="0A38C9E7" w14:textId="77777777" w:rsidTr="00650457">
        <w:tc>
          <w:tcPr>
            <w:tcW w:w="1838" w:type="dxa"/>
          </w:tcPr>
          <w:p w14:paraId="5113D2D2" w14:textId="77777777" w:rsidR="00953489" w:rsidRPr="00FA158C" w:rsidRDefault="00953489" w:rsidP="00A86567">
            <w:pPr>
              <w:jc w:val="both"/>
              <w:rPr>
                <w:b/>
                <w:lang w:val="fr-FR"/>
              </w:rPr>
            </w:pPr>
            <w:r w:rsidRPr="00FA158C">
              <w:rPr>
                <w:b/>
                <w:lang w:val="fr-FR"/>
              </w:rPr>
              <w:t>Marqueur</w:t>
            </w:r>
          </w:p>
        </w:tc>
        <w:tc>
          <w:tcPr>
            <w:tcW w:w="2410" w:type="dxa"/>
          </w:tcPr>
          <w:p w14:paraId="008BB203" w14:textId="77777777" w:rsidR="00953489" w:rsidRPr="00FA158C" w:rsidRDefault="00953489" w:rsidP="00FA158C">
            <w:pPr>
              <w:jc w:val="both"/>
              <w:rPr>
                <w:b/>
                <w:lang w:val="fr-FR"/>
              </w:rPr>
            </w:pPr>
            <w:r>
              <w:rPr>
                <w:b/>
                <w:lang w:val="fr-FR"/>
              </w:rPr>
              <w:t>Valeurs de référence</w:t>
            </w:r>
          </w:p>
        </w:tc>
      </w:tr>
      <w:tr w:rsidR="00953489" w:rsidRPr="00FA158C" w14:paraId="7BEEF07E" w14:textId="77777777" w:rsidTr="00650457">
        <w:tc>
          <w:tcPr>
            <w:tcW w:w="1838" w:type="dxa"/>
          </w:tcPr>
          <w:p w14:paraId="3FA647DC" w14:textId="77777777" w:rsidR="00953489" w:rsidRPr="00FA158C" w:rsidRDefault="00953489" w:rsidP="00A86567">
            <w:pPr>
              <w:jc w:val="both"/>
              <w:rPr>
                <w:b/>
                <w:lang w:val="fr-FR"/>
              </w:rPr>
            </w:pPr>
            <w:r w:rsidRPr="00FA158C">
              <w:rPr>
                <w:b/>
                <w:lang w:val="fr-FR"/>
              </w:rPr>
              <w:t>GADA</w:t>
            </w:r>
          </w:p>
        </w:tc>
        <w:tc>
          <w:tcPr>
            <w:tcW w:w="2410" w:type="dxa"/>
          </w:tcPr>
          <w:p w14:paraId="691F96F4" w14:textId="77777777" w:rsidR="00953489" w:rsidRPr="00FA158C" w:rsidRDefault="00650457" w:rsidP="00A86567">
            <w:pPr>
              <w:jc w:val="both"/>
              <w:rPr>
                <w:lang w:val="fr-FR"/>
              </w:rPr>
            </w:pPr>
            <w:r>
              <w:rPr>
                <w:lang w:val="fr-FR"/>
              </w:rPr>
              <w:t>&lt;</w:t>
            </w:r>
            <w:r w:rsidR="00953489" w:rsidRPr="00FA158C">
              <w:rPr>
                <w:lang w:val="fr-FR"/>
              </w:rPr>
              <w:t xml:space="preserve"> 7.5 IU/</w:t>
            </w:r>
            <w:proofErr w:type="spellStart"/>
            <w:r w:rsidR="00953489" w:rsidRPr="00FA158C">
              <w:rPr>
                <w:lang w:val="fr-FR"/>
              </w:rPr>
              <w:t>mL</w:t>
            </w:r>
            <w:proofErr w:type="spellEnd"/>
          </w:p>
        </w:tc>
      </w:tr>
      <w:tr w:rsidR="00953489" w:rsidRPr="00FA158C" w14:paraId="29C14392" w14:textId="77777777" w:rsidTr="00650457">
        <w:tc>
          <w:tcPr>
            <w:tcW w:w="1838" w:type="dxa"/>
          </w:tcPr>
          <w:p w14:paraId="188D1A85" w14:textId="77777777" w:rsidR="00953489" w:rsidRPr="00FA158C" w:rsidRDefault="00953489" w:rsidP="00A86567">
            <w:pPr>
              <w:jc w:val="both"/>
              <w:rPr>
                <w:b/>
                <w:lang w:val="fr-FR"/>
              </w:rPr>
            </w:pPr>
            <w:r w:rsidRPr="00FA158C">
              <w:rPr>
                <w:b/>
                <w:lang w:val="fr-FR"/>
              </w:rPr>
              <w:t>IA-2A</w:t>
            </w:r>
          </w:p>
        </w:tc>
        <w:tc>
          <w:tcPr>
            <w:tcW w:w="2410" w:type="dxa"/>
          </w:tcPr>
          <w:p w14:paraId="783F26D2" w14:textId="77777777" w:rsidR="00953489" w:rsidRPr="00FA158C" w:rsidRDefault="00650457" w:rsidP="00650457">
            <w:pPr>
              <w:jc w:val="both"/>
              <w:rPr>
                <w:lang w:val="fr-FR"/>
              </w:rPr>
            </w:pPr>
            <w:r>
              <w:rPr>
                <w:lang w:val="fr-FR"/>
              </w:rPr>
              <w:t xml:space="preserve">&lt; </w:t>
            </w:r>
            <w:r w:rsidR="00953489" w:rsidRPr="00FA158C">
              <w:rPr>
                <w:lang w:val="fr-FR"/>
              </w:rPr>
              <w:t>10 IU/</w:t>
            </w:r>
            <w:proofErr w:type="spellStart"/>
            <w:r w:rsidR="00953489" w:rsidRPr="00FA158C">
              <w:rPr>
                <w:lang w:val="fr-FR"/>
              </w:rPr>
              <w:t>mL</w:t>
            </w:r>
            <w:proofErr w:type="spellEnd"/>
          </w:p>
        </w:tc>
      </w:tr>
      <w:tr w:rsidR="00953489" w:rsidRPr="00FA158C" w14:paraId="273FD44E" w14:textId="77777777" w:rsidTr="00650457">
        <w:tc>
          <w:tcPr>
            <w:tcW w:w="1838" w:type="dxa"/>
          </w:tcPr>
          <w:p w14:paraId="764A067C" w14:textId="77777777" w:rsidR="00953489" w:rsidRPr="00FA158C" w:rsidRDefault="00953489" w:rsidP="00A86567">
            <w:pPr>
              <w:jc w:val="both"/>
              <w:rPr>
                <w:b/>
                <w:lang w:val="fr-FR"/>
              </w:rPr>
            </w:pPr>
            <w:r w:rsidRPr="00FA158C">
              <w:rPr>
                <w:b/>
                <w:lang w:val="fr-FR"/>
              </w:rPr>
              <w:t>ZnT8A</w:t>
            </w:r>
          </w:p>
        </w:tc>
        <w:tc>
          <w:tcPr>
            <w:tcW w:w="2410" w:type="dxa"/>
          </w:tcPr>
          <w:p w14:paraId="10E7CA12" w14:textId="77777777" w:rsidR="00953489" w:rsidRPr="00FA158C" w:rsidRDefault="00650457" w:rsidP="00650457">
            <w:pPr>
              <w:jc w:val="both"/>
              <w:rPr>
                <w:lang w:val="fr-FR"/>
              </w:rPr>
            </w:pPr>
            <w:r>
              <w:rPr>
                <w:lang w:val="fr-FR"/>
              </w:rPr>
              <w:t>&lt;</w:t>
            </w:r>
            <w:r w:rsidR="00E46F76">
              <w:rPr>
                <w:lang w:val="fr-FR"/>
              </w:rPr>
              <w:t xml:space="preserve"> 10 </w:t>
            </w:r>
            <w:r w:rsidR="00953489" w:rsidRPr="00FA158C">
              <w:rPr>
                <w:lang w:val="fr-FR"/>
              </w:rPr>
              <w:t>U/</w:t>
            </w:r>
            <w:proofErr w:type="spellStart"/>
            <w:r w:rsidR="00953489" w:rsidRPr="00FA158C">
              <w:rPr>
                <w:lang w:val="fr-FR"/>
              </w:rPr>
              <w:t>mL</w:t>
            </w:r>
            <w:proofErr w:type="spellEnd"/>
          </w:p>
        </w:tc>
      </w:tr>
    </w:tbl>
    <w:p w14:paraId="56C07DEA" w14:textId="77777777" w:rsidR="00FA158C" w:rsidRDefault="00FA158C" w:rsidP="00FA158C">
      <w:pPr>
        <w:jc w:val="both"/>
      </w:pPr>
    </w:p>
    <w:p w14:paraId="31AB6216" w14:textId="77777777" w:rsidR="00FA158C" w:rsidRDefault="00FA158C" w:rsidP="00FA158C">
      <w:pPr>
        <w:jc w:val="both"/>
        <w:rPr>
          <w:lang w:val="fr-FR"/>
        </w:rPr>
      </w:pPr>
      <w:r w:rsidRPr="00FA158C">
        <w:rPr>
          <w:lang w:val="fr-FR"/>
        </w:rPr>
        <w:t xml:space="preserve">Vous pouvez compter sur notre engagement permanent </w:t>
      </w:r>
      <w:r>
        <w:rPr>
          <w:lang w:val="fr-FR"/>
        </w:rPr>
        <w:t>quant à la</w:t>
      </w:r>
      <w:r w:rsidRPr="00FA158C">
        <w:rPr>
          <w:lang w:val="fr-FR"/>
        </w:rPr>
        <w:t xml:space="preserve"> qualité et des meilleures méthodes pour la détermination des anticorps associés au diabète et d'autres marqueurs du diabète. Si vous avez des questions, n'hésitez pas à contacter nos biologistes cliniques qui </w:t>
      </w:r>
      <w:r>
        <w:rPr>
          <w:lang w:val="fr-FR"/>
        </w:rPr>
        <w:t>sont en charge de</w:t>
      </w:r>
      <w:r w:rsidRPr="00FA158C">
        <w:rPr>
          <w:lang w:val="fr-FR"/>
        </w:rPr>
        <w:t xml:space="preserve"> ces déterminations.</w:t>
      </w:r>
    </w:p>
    <w:p w14:paraId="16DEA4EF" w14:textId="77777777" w:rsidR="00FA158C" w:rsidRPr="007C34DF" w:rsidRDefault="00FA158C" w:rsidP="00FA158C">
      <w:pPr>
        <w:jc w:val="both"/>
        <w:rPr>
          <w:lang w:val="fr-FR"/>
        </w:rPr>
      </w:pPr>
      <w:r w:rsidRPr="00FA158C">
        <w:rPr>
          <w:lang w:val="fr-FR"/>
        </w:rPr>
        <w:t xml:space="preserve">- prof. dr. </w:t>
      </w:r>
      <w:r w:rsidRPr="007C34DF">
        <w:rPr>
          <w:lang w:val="fr-FR"/>
        </w:rPr>
        <w:t>Ilse Weets (02 477 50 30 ou ilse.weets@uzbrussel.be)</w:t>
      </w:r>
    </w:p>
    <w:p w14:paraId="766A2E7A" w14:textId="77777777" w:rsidR="00FA158C" w:rsidRPr="00FA158C" w:rsidRDefault="00FA158C" w:rsidP="00FA158C">
      <w:pPr>
        <w:jc w:val="both"/>
        <w:rPr>
          <w:lang w:val="fr-FR"/>
        </w:rPr>
      </w:pPr>
      <w:r w:rsidRPr="007C34DF">
        <w:rPr>
          <w:lang w:val="fr-FR"/>
        </w:rPr>
        <w:t xml:space="preserve">- prof. dr. </w:t>
      </w:r>
      <w:r w:rsidRPr="00FA158C">
        <w:rPr>
          <w:lang w:val="fr-FR"/>
        </w:rPr>
        <w:t xml:space="preserve">Annelien Van </w:t>
      </w:r>
      <w:r w:rsidR="000A7066">
        <w:rPr>
          <w:lang w:val="fr-FR"/>
        </w:rPr>
        <w:t>Dalem (02 477 50 30 ou annelien.</w:t>
      </w:r>
      <w:r w:rsidRPr="00FA158C">
        <w:rPr>
          <w:lang w:val="fr-FR"/>
        </w:rPr>
        <w:t>vandalem@uzbrussel.be)</w:t>
      </w:r>
    </w:p>
    <w:p w14:paraId="6285ED5D" w14:textId="77777777" w:rsidR="00FA158C" w:rsidRPr="00FA158C" w:rsidRDefault="00FA158C" w:rsidP="00FA158C">
      <w:pPr>
        <w:jc w:val="both"/>
        <w:rPr>
          <w:lang w:val="fr-FR"/>
        </w:rPr>
      </w:pPr>
      <w:r w:rsidRPr="00FA158C">
        <w:rPr>
          <w:lang w:val="fr-FR"/>
        </w:rPr>
        <w:t>- dr. Bavo Blomme (02 477 50 30 ou bavo.blomme@uzbrussel.be)</w:t>
      </w:r>
    </w:p>
    <w:p w14:paraId="46EFEA1E" w14:textId="77777777" w:rsidR="00FA158C" w:rsidRDefault="00FA158C" w:rsidP="00DC157F">
      <w:pPr>
        <w:jc w:val="both"/>
        <w:rPr>
          <w:lang w:val="fr-FR"/>
        </w:rPr>
      </w:pPr>
    </w:p>
    <w:p w14:paraId="7CF558DC" w14:textId="77777777" w:rsidR="00FA158C" w:rsidRPr="00FA158C" w:rsidRDefault="00FA158C" w:rsidP="00FA158C">
      <w:pPr>
        <w:jc w:val="both"/>
        <w:rPr>
          <w:b/>
          <w:lang w:val="fr-FR"/>
        </w:rPr>
      </w:pPr>
      <w:r w:rsidRPr="00FA158C">
        <w:rPr>
          <w:b/>
          <w:lang w:val="fr-FR"/>
        </w:rPr>
        <w:t>2. Facturation</w:t>
      </w:r>
    </w:p>
    <w:p w14:paraId="6B5EF990" w14:textId="77777777" w:rsidR="00FA158C" w:rsidRPr="00FA158C" w:rsidRDefault="00FA158C" w:rsidP="00FA158C">
      <w:pPr>
        <w:jc w:val="both"/>
        <w:rPr>
          <w:lang w:val="fr-FR"/>
        </w:rPr>
      </w:pPr>
      <w:r w:rsidRPr="00FA158C">
        <w:rPr>
          <w:lang w:val="fr-FR"/>
        </w:rPr>
        <w:t>À partir du 1</w:t>
      </w:r>
      <w:r w:rsidRPr="002216DA">
        <w:rPr>
          <w:vertAlign w:val="superscript"/>
          <w:lang w:val="fr-FR"/>
        </w:rPr>
        <w:t>er</w:t>
      </w:r>
      <w:r w:rsidRPr="00FA158C">
        <w:rPr>
          <w:lang w:val="fr-FR"/>
        </w:rPr>
        <w:t xml:space="preserve"> octobre 2023, nous allons également revoir la facturation de nos prestations. Ces dernières années, il y a eu d</w:t>
      </w:r>
      <w:r w:rsidR="00257531">
        <w:rPr>
          <w:lang w:val="fr-FR"/>
        </w:rPr>
        <w:t xml:space="preserve">es </w:t>
      </w:r>
      <w:r w:rsidRPr="00FA158C">
        <w:rPr>
          <w:lang w:val="fr-FR"/>
        </w:rPr>
        <w:t>ambiguïtés qui ont donné lieu à de</w:t>
      </w:r>
      <w:r w:rsidR="003473E6">
        <w:rPr>
          <w:lang w:val="fr-FR"/>
        </w:rPr>
        <w:t>s</w:t>
      </w:r>
      <w:r w:rsidR="00257531">
        <w:rPr>
          <w:lang w:val="fr-FR"/>
        </w:rPr>
        <w:t xml:space="preserve"> </w:t>
      </w:r>
      <w:r w:rsidRPr="00FA158C">
        <w:rPr>
          <w:lang w:val="fr-FR"/>
        </w:rPr>
        <w:t>plaintes et nous voulons éviter cela à l'avenir.</w:t>
      </w:r>
    </w:p>
    <w:p w14:paraId="3598FD14" w14:textId="77777777" w:rsidR="00FA158C" w:rsidRPr="00FA158C" w:rsidRDefault="00FA158C" w:rsidP="00FA158C">
      <w:pPr>
        <w:jc w:val="both"/>
        <w:rPr>
          <w:lang w:val="fr-FR"/>
        </w:rPr>
      </w:pPr>
      <w:r w:rsidRPr="00FA158C">
        <w:rPr>
          <w:lang w:val="fr-FR"/>
        </w:rPr>
        <w:t>Nous n'acceptons que 2 options</w:t>
      </w:r>
      <w:r w:rsidR="00257531">
        <w:rPr>
          <w:lang w:val="fr-FR"/>
        </w:rPr>
        <w:t xml:space="preserve"> pour les demandes externes</w:t>
      </w:r>
      <w:r w:rsidR="00274C7D">
        <w:rPr>
          <w:lang w:val="fr-FR"/>
        </w:rPr>
        <w:t>, conformément à la nomenclature de l’INAMI</w:t>
      </w:r>
      <w:r w:rsidR="00257531">
        <w:rPr>
          <w:lang w:val="fr-FR"/>
        </w:rPr>
        <w:t> :</w:t>
      </w:r>
    </w:p>
    <w:p w14:paraId="4931B42B" w14:textId="77777777" w:rsidR="00FA158C" w:rsidRPr="00FA158C" w:rsidRDefault="00FA158C" w:rsidP="00FA158C">
      <w:pPr>
        <w:jc w:val="both"/>
        <w:rPr>
          <w:lang w:val="fr-FR"/>
        </w:rPr>
      </w:pPr>
      <w:r w:rsidRPr="00FA158C">
        <w:rPr>
          <w:lang w:val="fr-FR"/>
        </w:rPr>
        <w:t>- la sous-traitance de</w:t>
      </w:r>
      <w:r w:rsidR="00274C7D">
        <w:rPr>
          <w:lang w:val="fr-FR"/>
        </w:rPr>
        <w:t>s analyses en</w:t>
      </w:r>
      <w:r w:rsidRPr="00FA158C">
        <w:rPr>
          <w:lang w:val="fr-FR"/>
        </w:rPr>
        <w:t xml:space="preserve"> routine</w:t>
      </w:r>
    </w:p>
    <w:p w14:paraId="12D9AF8A" w14:textId="77777777" w:rsidR="00FA158C" w:rsidRDefault="00FA158C" w:rsidP="00FA158C">
      <w:pPr>
        <w:jc w:val="both"/>
        <w:rPr>
          <w:lang w:val="fr-FR"/>
        </w:rPr>
      </w:pPr>
      <w:r w:rsidRPr="00FA158C">
        <w:rPr>
          <w:lang w:val="fr-FR"/>
        </w:rPr>
        <w:t>- les déterminations dans le cadre d</w:t>
      </w:r>
      <w:r w:rsidR="00257531">
        <w:rPr>
          <w:lang w:val="fr-FR"/>
        </w:rPr>
        <w:t xml:space="preserve">es </w:t>
      </w:r>
      <w:r w:rsidRPr="00FA158C">
        <w:rPr>
          <w:lang w:val="fr-FR"/>
        </w:rPr>
        <w:t xml:space="preserve">études, y compris le BDR, qui n'impliquent </w:t>
      </w:r>
      <w:r w:rsidR="00257531">
        <w:rPr>
          <w:lang w:val="fr-FR"/>
        </w:rPr>
        <w:t xml:space="preserve">aucun frais au </w:t>
      </w:r>
      <w:r w:rsidRPr="00FA158C">
        <w:rPr>
          <w:lang w:val="fr-FR"/>
        </w:rPr>
        <w:t xml:space="preserve">laboratoire référent et/ou </w:t>
      </w:r>
      <w:r w:rsidR="00257531">
        <w:rPr>
          <w:lang w:val="fr-FR"/>
        </w:rPr>
        <w:t xml:space="preserve">au </w:t>
      </w:r>
      <w:r w:rsidRPr="00FA158C">
        <w:rPr>
          <w:lang w:val="fr-FR"/>
        </w:rPr>
        <w:t xml:space="preserve">patient. </w:t>
      </w:r>
      <w:r w:rsidR="00257531">
        <w:rPr>
          <w:lang w:val="fr-FR"/>
        </w:rPr>
        <w:t>L</w:t>
      </w:r>
      <w:r w:rsidRPr="00FA158C">
        <w:rPr>
          <w:lang w:val="fr-FR"/>
        </w:rPr>
        <w:t xml:space="preserve">a demande doit mentionner un numéro d'étude, </w:t>
      </w:r>
      <w:r w:rsidR="00274C7D">
        <w:rPr>
          <w:lang w:val="fr-FR"/>
        </w:rPr>
        <w:t>autrement</w:t>
      </w:r>
      <w:r w:rsidRPr="00FA158C">
        <w:rPr>
          <w:lang w:val="fr-FR"/>
        </w:rPr>
        <w:t xml:space="preserve"> l'analyse ne sera pas effectuée. Les demandes correctes avec un numéro d'étude seront distribuées via le BDR.</w:t>
      </w:r>
    </w:p>
    <w:p w14:paraId="442FF369" w14:textId="77777777" w:rsidR="00274C7D" w:rsidRDefault="00274C7D" w:rsidP="00FA158C">
      <w:pPr>
        <w:jc w:val="both"/>
        <w:rPr>
          <w:lang w:val="fr-FR"/>
        </w:rPr>
      </w:pPr>
    </w:p>
    <w:p w14:paraId="7E99D869" w14:textId="77777777" w:rsidR="009917F0" w:rsidRDefault="009917F0" w:rsidP="00FA158C">
      <w:pPr>
        <w:jc w:val="both"/>
        <w:rPr>
          <w:lang w:val="fr-FR"/>
        </w:rPr>
      </w:pPr>
    </w:p>
    <w:p w14:paraId="6F10291B" w14:textId="77777777" w:rsidR="007367BD" w:rsidRDefault="007367BD" w:rsidP="00FA158C">
      <w:pPr>
        <w:jc w:val="both"/>
        <w:rPr>
          <w:lang w:val="fr-FR"/>
        </w:rPr>
      </w:pPr>
    </w:p>
    <w:p w14:paraId="5A05DF7A" w14:textId="77777777" w:rsidR="007367BD" w:rsidRDefault="007367BD" w:rsidP="00FA158C">
      <w:pPr>
        <w:jc w:val="both"/>
        <w:rPr>
          <w:lang w:val="fr-FR"/>
        </w:rPr>
      </w:pPr>
    </w:p>
    <w:p w14:paraId="2E5B301A" w14:textId="77777777" w:rsidR="00274C7D" w:rsidRDefault="00274C7D" w:rsidP="00FA158C">
      <w:pPr>
        <w:jc w:val="both"/>
        <w:rPr>
          <w:lang w:val="fr-FR"/>
        </w:rPr>
      </w:pPr>
      <w:r w:rsidRPr="00274C7D">
        <w:rPr>
          <w:lang w:val="fr-FR"/>
        </w:rPr>
        <w:lastRenderedPageBreak/>
        <w:t xml:space="preserve">Il </w:t>
      </w:r>
      <w:r w:rsidR="00257531">
        <w:rPr>
          <w:lang w:val="fr-FR"/>
        </w:rPr>
        <w:t>faut</w:t>
      </w:r>
      <w:r w:rsidR="009917F0">
        <w:rPr>
          <w:lang w:val="fr-FR"/>
        </w:rPr>
        <w:t xml:space="preserve"> </w:t>
      </w:r>
      <w:r w:rsidRPr="00274C7D">
        <w:rPr>
          <w:lang w:val="fr-FR"/>
        </w:rPr>
        <w:t>noter que toutes les déterminations ne sont pas remboursées par la nomenclature. Les analyses hors nomenclat</w:t>
      </w:r>
      <w:r w:rsidR="003473E6">
        <w:rPr>
          <w:lang w:val="fr-FR"/>
        </w:rPr>
        <w:t>ure sont facturées. V</w:t>
      </w:r>
      <w:r w:rsidRPr="00274C7D">
        <w:rPr>
          <w:lang w:val="fr-FR"/>
        </w:rPr>
        <w:t>oici un aperçu</w:t>
      </w:r>
      <w:r w:rsidR="003473E6">
        <w:rPr>
          <w:lang w:val="fr-FR"/>
        </w:rPr>
        <w:t> :</w:t>
      </w:r>
    </w:p>
    <w:tbl>
      <w:tblPr>
        <w:tblStyle w:val="Tabelraster"/>
        <w:tblW w:w="9634" w:type="dxa"/>
        <w:tblLook w:val="04A0" w:firstRow="1" w:lastRow="0" w:firstColumn="1" w:lastColumn="0" w:noHBand="0" w:noVBand="1"/>
      </w:tblPr>
      <w:tblGrid>
        <w:gridCol w:w="1555"/>
        <w:gridCol w:w="5098"/>
        <w:gridCol w:w="2981"/>
      </w:tblGrid>
      <w:tr w:rsidR="00274C7D" w:rsidRPr="002216DA" w14:paraId="7E0ED7FC" w14:textId="77777777" w:rsidTr="002216DA">
        <w:tc>
          <w:tcPr>
            <w:tcW w:w="1555" w:type="dxa"/>
          </w:tcPr>
          <w:p w14:paraId="7B5114AE" w14:textId="77777777" w:rsidR="00274C7D" w:rsidRPr="002216DA" w:rsidRDefault="00274C7D" w:rsidP="00A86567">
            <w:pPr>
              <w:jc w:val="both"/>
              <w:rPr>
                <w:b/>
                <w:lang w:val="fr-FR"/>
              </w:rPr>
            </w:pPr>
            <w:r w:rsidRPr="002216DA">
              <w:rPr>
                <w:b/>
                <w:lang w:val="fr-FR"/>
              </w:rPr>
              <w:t>Marqueur</w:t>
            </w:r>
          </w:p>
        </w:tc>
        <w:tc>
          <w:tcPr>
            <w:tcW w:w="5098" w:type="dxa"/>
          </w:tcPr>
          <w:p w14:paraId="70936319" w14:textId="77777777" w:rsidR="00274C7D" w:rsidRPr="002216DA" w:rsidRDefault="00274C7D" w:rsidP="00A86567">
            <w:pPr>
              <w:jc w:val="both"/>
              <w:rPr>
                <w:b/>
                <w:lang w:val="fr-FR"/>
              </w:rPr>
            </w:pPr>
            <w:r w:rsidRPr="002216DA">
              <w:rPr>
                <w:b/>
                <w:lang w:val="fr-FR"/>
              </w:rPr>
              <w:t>Règles</w:t>
            </w:r>
          </w:p>
        </w:tc>
        <w:tc>
          <w:tcPr>
            <w:tcW w:w="2981" w:type="dxa"/>
          </w:tcPr>
          <w:p w14:paraId="614DBB14" w14:textId="77777777" w:rsidR="00274C7D" w:rsidRPr="002216DA" w:rsidRDefault="00274C7D" w:rsidP="00274C7D">
            <w:pPr>
              <w:jc w:val="both"/>
              <w:rPr>
                <w:b/>
                <w:lang w:val="fr-FR"/>
              </w:rPr>
            </w:pPr>
            <w:r w:rsidRPr="002216DA">
              <w:rPr>
                <w:b/>
                <w:lang w:val="fr-FR"/>
              </w:rPr>
              <w:t>Nomenclature/Frais</w:t>
            </w:r>
          </w:p>
        </w:tc>
      </w:tr>
      <w:tr w:rsidR="00274C7D" w:rsidRPr="002216DA" w14:paraId="6F87B7BF" w14:textId="77777777" w:rsidTr="002216DA">
        <w:tc>
          <w:tcPr>
            <w:tcW w:w="1555" w:type="dxa"/>
          </w:tcPr>
          <w:p w14:paraId="1A80EA11" w14:textId="77777777" w:rsidR="00274C7D" w:rsidRPr="002216DA" w:rsidRDefault="00274C7D" w:rsidP="002216DA">
            <w:pPr>
              <w:jc w:val="both"/>
              <w:rPr>
                <w:lang w:val="fr-FR"/>
              </w:rPr>
            </w:pPr>
            <w:r w:rsidRPr="002216DA">
              <w:rPr>
                <w:lang w:val="fr-FR"/>
              </w:rPr>
              <w:t xml:space="preserve">ICA </w:t>
            </w:r>
            <w:r w:rsidR="002216DA">
              <w:rPr>
                <w:lang w:val="fr-FR"/>
              </w:rPr>
              <w:t>recherche</w:t>
            </w:r>
          </w:p>
        </w:tc>
        <w:tc>
          <w:tcPr>
            <w:tcW w:w="5098" w:type="dxa"/>
          </w:tcPr>
          <w:p w14:paraId="5EA04A0B" w14:textId="77777777" w:rsidR="00274C7D" w:rsidRPr="002216DA" w:rsidRDefault="00274C7D" w:rsidP="00A86567">
            <w:pPr>
              <w:jc w:val="both"/>
              <w:rPr>
                <w:rFonts w:ascii="Calibri" w:hAnsi="Calibri"/>
                <w:color w:val="000000"/>
                <w:lang w:val="fr-FR"/>
              </w:rPr>
            </w:pPr>
          </w:p>
        </w:tc>
        <w:tc>
          <w:tcPr>
            <w:tcW w:w="2981" w:type="dxa"/>
          </w:tcPr>
          <w:p w14:paraId="464566DB" w14:textId="77777777" w:rsidR="00274C7D" w:rsidRPr="002216DA" w:rsidRDefault="00274C7D" w:rsidP="00A86567">
            <w:pPr>
              <w:jc w:val="both"/>
              <w:rPr>
                <w:lang w:val="fr-FR"/>
              </w:rPr>
            </w:pPr>
            <w:r w:rsidRPr="002216DA">
              <w:rPr>
                <w:lang w:val="fr-FR"/>
              </w:rPr>
              <w:t>555951 - 555962</w:t>
            </w:r>
          </w:p>
        </w:tc>
      </w:tr>
      <w:tr w:rsidR="00274C7D" w:rsidRPr="002216DA" w14:paraId="7AB9803B" w14:textId="77777777" w:rsidTr="002216DA">
        <w:tc>
          <w:tcPr>
            <w:tcW w:w="1555" w:type="dxa"/>
          </w:tcPr>
          <w:p w14:paraId="44A11292" w14:textId="77777777" w:rsidR="00274C7D" w:rsidRPr="002216DA" w:rsidRDefault="00274C7D" w:rsidP="002216DA">
            <w:pPr>
              <w:jc w:val="both"/>
              <w:rPr>
                <w:lang w:val="fr-FR"/>
              </w:rPr>
            </w:pPr>
            <w:r w:rsidRPr="002216DA">
              <w:rPr>
                <w:lang w:val="fr-FR"/>
              </w:rPr>
              <w:t>ICA titrati</w:t>
            </w:r>
            <w:r w:rsidR="002216DA">
              <w:rPr>
                <w:lang w:val="fr-FR"/>
              </w:rPr>
              <w:t>on</w:t>
            </w:r>
          </w:p>
        </w:tc>
        <w:tc>
          <w:tcPr>
            <w:tcW w:w="5098" w:type="dxa"/>
          </w:tcPr>
          <w:p w14:paraId="7252525D" w14:textId="77777777" w:rsidR="00274C7D" w:rsidRPr="002216DA" w:rsidRDefault="00274C7D" w:rsidP="00A86567">
            <w:pPr>
              <w:jc w:val="both"/>
              <w:rPr>
                <w:rFonts w:ascii="Calibri" w:hAnsi="Calibri"/>
                <w:color w:val="000000"/>
                <w:lang w:val="fr-FR"/>
              </w:rPr>
            </w:pPr>
            <w:r w:rsidRPr="002216DA">
              <w:rPr>
                <w:rFonts w:ascii="Calibri" w:hAnsi="Calibri" w:cs="Calibri"/>
                <w:color w:val="000000"/>
                <w:lang w:val="fr-FR"/>
              </w:rPr>
              <w:t xml:space="preserve">Règle diagnostique </w:t>
            </w:r>
            <w:r w:rsidRPr="002216DA">
              <w:rPr>
                <w:rFonts w:ascii="Calibri" w:hAnsi="Calibri"/>
                <w:color w:val="000000"/>
                <w:lang w:val="fr-FR"/>
              </w:rPr>
              <w:t>26</w:t>
            </w:r>
          </w:p>
          <w:p w14:paraId="5B2EA621" w14:textId="77777777" w:rsidR="00274C7D" w:rsidRPr="002216DA" w:rsidRDefault="00274C7D" w:rsidP="00A86567">
            <w:pPr>
              <w:jc w:val="both"/>
              <w:rPr>
                <w:rFonts w:ascii="Calibri" w:hAnsi="Calibri"/>
                <w:color w:val="000000"/>
                <w:lang w:val="fr-FR"/>
              </w:rPr>
            </w:pPr>
            <w:r w:rsidRPr="002216DA">
              <w:rPr>
                <w:rFonts w:ascii="Calibri" w:hAnsi="Calibri" w:cs="Calibri"/>
                <w:color w:val="000000"/>
                <w:lang w:val="fr-FR"/>
              </w:rPr>
              <w:t>La prestation 555973 - 555984 ne peut être portée en compte à l'AMI que si la prestation 555951 - 555962 donne un résultat positif.</w:t>
            </w:r>
          </w:p>
        </w:tc>
        <w:tc>
          <w:tcPr>
            <w:tcW w:w="2981" w:type="dxa"/>
          </w:tcPr>
          <w:p w14:paraId="27A83301" w14:textId="77777777" w:rsidR="00274C7D" w:rsidRPr="002216DA" w:rsidRDefault="00274C7D" w:rsidP="00A86567">
            <w:pPr>
              <w:jc w:val="both"/>
              <w:rPr>
                <w:lang w:val="fr-FR"/>
              </w:rPr>
            </w:pPr>
            <w:r w:rsidRPr="002216DA">
              <w:rPr>
                <w:lang w:val="fr-FR"/>
              </w:rPr>
              <w:t>555973 - 555984</w:t>
            </w:r>
          </w:p>
        </w:tc>
      </w:tr>
      <w:tr w:rsidR="00274C7D" w:rsidRPr="002216DA" w14:paraId="09E6520D" w14:textId="77777777" w:rsidTr="002216DA">
        <w:tc>
          <w:tcPr>
            <w:tcW w:w="1555" w:type="dxa"/>
          </w:tcPr>
          <w:p w14:paraId="39795397" w14:textId="77777777" w:rsidR="00274C7D" w:rsidRPr="002216DA" w:rsidRDefault="00274C7D" w:rsidP="00A86567">
            <w:pPr>
              <w:jc w:val="both"/>
              <w:rPr>
                <w:lang w:val="fr-FR"/>
              </w:rPr>
            </w:pPr>
            <w:r w:rsidRPr="002216DA">
              <w:rPr>
                <w:lang w:val="fr-FR"/>
              </w:rPr>
              <w:t>IAA</w:t>
            </w:r>
          </w:p>
        </w:tc>
        <w:tc>
          <w:tcPr>
            <w:tcW w:w="5098" w:type="dxa"/>
          </w:tcPr>
          <w:p w14:paraId="7E88A0F1" w14:textId="77777777" w:rsidR="00274C7D" w:rsidRPr="002216DA" w:rsidRDefault="00274C7D" w:rsidP="00A86567">
            <w:pPr>
              <w:jc w:val="both"/>
              <w:rPr>
                <w:rFonts w:ascii="Calibri" w:hAnsi="Calibri"/>
                <w:color w:val="000000"/>
                <w:lang w:val="fr-FR"/>
              </w:rPr>
            </w:pPr>
            <w:r w:rsidRPr="002216DA">
              <w:rPr>
                <w:rFonts w:ascii="Calibri" w:hAnsi="Calibri" w:cs="Calibri"/>
                <w:color w:val="000000"/>
                <w:lang w:val="fr-FR"/>
              </w:rPr>
              <w:t xml:space="preserve">Règle de cumul </w:t>
            </w:r>
            <w:r w:rsidRPr="002216DA">
              <w:rPr>
                <w:rFonts w:ascii="Calibri" w:hAnsi="Calibri"/>
                <w:color w:val="000000"/>
                <w:lang w:val="fr-FR"/>
              </w:rPr>
              <w:t>120</w:t>
            </w:r>
          </w:p>
          <w:p w14:paraId="5A933CA1" w14:textId="77777777" w:rsidR="00274C7D" w:rsidRPr="002216DA" w:rsidRDefault="00274C7D" w:rsidP="00274C7D">
            <w:pPr>
              <w:rPr>
                <w:rFonts w:ascii="Calibri" w:hAnsi="Calibri"/>
                <w:color w:val="000000"/>
                <w:lang w:val="fr-FR"/>
              </w:rPr>
            </w:pPr>
            <w:r w:rsidRPr="002216DA">
              <w:rPr>
                <w:rFonts w:ascii="Calibri" w:hAnsi="Calibri" w:cs="Calibri"/>
                <w:color w:val="000000"/>
                <w:lang w:val="fr-FR"/>
              </w:rPr>
              <w:t xml:space="preserve">Les prestations  438034 - 438045 et 556533 -556544 </w:t>
            </w:r>
            <w:r w:rsidRPr="002216DA">
              <w:rPr>
                <w:rFonts w:ascii="Calibri" w:hAnsi="Calibri" w:cs="Calibri"/>
                <w:bCs/>
                <w:color w:val="000000"/>
                <w:lang w:val="fr-FR"/>
              </w:rPr>
              <w:t>ne sont pas cumulables entre elles.</w:t>
            </w:r>
          </w:p>
        </w:tc>
        <w:tc>
          <w:tcPr>
            <w:tcW w:w="2981" w:type="dxa"/>
          </w:tcPr>
          <w:p w14:paraId="5D89C8B9" w14:textId="77777777" w:rsidR="00274C7D" w:rsidRPr="002216DA" w:rsidRDefault="00274C7D" w:rsidP="00A86567">
            <w:pPr>
              <w:jc w:val="both"/>
              <w:rPr>
                <w:lang w:val="fr-FR"/>
              </w:rPr>
            </w:pPr>
            <w:r w:rsidRPr="002216DA">
              <w:rPr>
                <w:lang w:val="fr-FR"/>
              </w:rPr>
              <w:t>438034 - 438045</w:t>
            </w:r>
          </w:p>
        </w:tc>
      </w:tr>
      <w:tr w:rsidR="00274C7D" w:rsidRPr="002216DA" w14:paraId="1BA7AB65" w14:textId="77777777" w:rsidTr="002216DA">
        <w:tc>
          <w:tcPr>
            <w:tcW w:w="1555" w:type="dxa"/>
          </w:tcPr>
          <w:p w14:paraId="63E68554" w14:textId="77777777" w:rsidR="00274C7D" w:rsidRPr="002216DA" w:rsidRDefault="00274C7D" w:rsidP="00A86567">
            <w:pPr>
              <w:jc w:val="both"/>
              <w:rPr>
                <w:lang w:val="fr-FR"/>
              </w:rPr>
            </w:pPr>
            <w:r w:rsidRPr="002216DA">
              <w:rPr>
                <w:lang w:val="fr-FR"/>
              </w:rPr>
              <w:t>GADA</w:t>
            </w:r>
          </w:p>
        </w:tc>
        <w:tc>
          <w:tcPr>
            <w:tcW w:w="5098" w:type="dxa"/>
          </w:tcPr>
          <w:p w14:paraId="1D95C1BB" w14:textId="77777777" w:rsidR="00274C7D" w:rsidRPr="002216DA" w:rsidRDefault="00274C7D" w:rsidP="00274C7D">
            <w:pPr>
              <w:jc w:val="both"/>
              <w:rPr>
                <w:rFonts w:ascii="Calibri" w:hAnsi="Calibri"/>
                <w:color w:val="000000"/>
                <w:lang w:val="fr-FR"/>
              </w:rPr>
            </w:pPr>
            <w:r w:rsidRPr="002216DA">
              <w:rPr>
                <w:rFonts w:ascii="Calibri" w:hAnsi="Calibri" w:cs="Calibri"/>
                <w:color w:val="000000"/>
                <w:lang w:val="fr-FR"/>
              </w:rPr>
              <w:t xml:space="preserve">Règle diagnostique </w:t>
            </w:r>
            <w:r w:rsidRPr="002216DA">
              <w:rPr>
                <w:rFonts w:ascii="Calibri" w:hAnsi="Calibri"/>
                <w:color w:val="000000"/>
                <w:lang w:val="fr-FR"/>
              </w:rPr>
              <w:t>63</w:t>
            </w:r>
          </w:p>
          <w:p w14:paraId="1535F116" w14:textId="77777777" w:rsidR="00274C7D" w:rsidRPr="002216DA" w:rsidRDefault="00274C7D" w:rsidP="00A86567">
            <w:pPr>
              <w:jc w:val="both"/>
              <w:rPr>
                <w:lang w:val="fr-FR"/>
              </w:rPr>
            </w:pPr>
            <w:r w:rsidRPr="002216DA">
              <w:rPr>
                <w:rFonts w:ascii="Calibri" w:hAnsi="Calibri" w:cs="Calibri"/>
                <w:color w:val="000000"/>
                <w:lang w:val="fr-FR"/>
              </w:rPr>
              <w:t>La prestation 542931 - 542942 ne peut être portée en compte à l'AMI que soit chez un patient diabétique de moins de 40 ans et pour lequel le diabète sucré a été diagnostiqué au maximum 5 ans plus tôt, soit chez des apparentés du premier degré de ces patients.</w:t>
            </w:r>
          </w:p>
        </w:tc>
        <w:tc>
          <w:tcPr>
            <w:tcW w:w="2981" w:type="dxa"/>
          </w:tcPr>
          <w:p w14:paraId="516E9DC7" w14:textId="77777777" w:rsidR="00274C7D" w:rsidRPr="002216DA" w:rsidRDefault="00274C7D" w:rsidP="00A86567">
            <w:pPr>
              <w:jc w:val="both"/>
              <w:rPr>
                <w:lang w:val="fr-FR"/>
              </w:rPr>
            </w:pPr>
            <w:r w:rsidRPr="002216DA">
              <w:rPr>
                <w:lang w:val="fr-FR"/>
              </w:rPr>
              <w:t>542931 - 542942</w:t>
            </w:r>
          </w:p>
        </w:tc>
      </w:tr>
      <w:tr w:rsidR="00274C7D" w:rsidRPr="002216DA" w14:paraId="35B27F7D" w14:textId="77777777" w:rsidTr="002216DA">
        <w:tc>
          <w:tcPr>
            <w:tcW w:w="1555" w:type="dxa"/>
          </w:tcPr>
          <w:p w14:paraId="0A66FBD7" w14:textId="77777777" w:rsidR="00274C7D" w:rsidRPr="002216DA" w:rsidRDefault="00274C7D" w:rsidP="00A86567">
            <w:pPr>
              <w:jc w:val="both"/>
              <w:rPr>
                <w:lang w:val="fr-FR"/>
              </w:rPr>
            </w:pPr>
            <w:r w:rsidRPr="002216DA">
              <w:rPr>
                <w:lang w:val="fr-FR"/>
              </w:rPr>
              <w:t>GADA</w:t>
            </w:r>
          </w:p>
        </w:tc>
        <w:tc>
          <w:tcPr>
            <w:tcW w:w="5098" w:type="dxa"/>
          </w:tcPr>
          <w:p w14:paraId="2BD818C9" w14:textId="77777777" w:rsidR="00274C7D" w:rsidRPr="002216DA" w:rsidRDefault="00A43121" w:rsidP="00A86567">
            <w:pPr>
              <w:jc w:val="both"/>
              <w:rPr>
                <w:lang w:val="fr-FR"/>
              </w:rPr>
            </w:pPr>
            <w:r w:rsidRPr="002216DA">
              <w:rPr>
                <w:lang w:val="fr-FR"/>
              </w:rPr>
              <w:t>Hors nomenclature</w:t>
            </w:r>
          </w:p>
        </w:tc>
        <w:tc>
          <w:tcPr>
            <w:tcW w:w="2981" w:type="dxa"/>
          </w:tcPr>
          <w:p w14:paraId="1C3B9AE8" w14:textId="77777777" w:rsidR="00274C7D" w:rsidRPr="002216DA" w:rsidRDefault="00274C7D" w:rsidP="00A86567">
            <w:pPr>
              <w:jc w:val="both"/>
              <w:rPr>
                <w:lang w:val="fr-FR"/>
              </w:rPr>
            </w:pPr>
            <w:r w:rsidRPr="002216DA">
              <w:rPr>
                <w:lang w:val="fr-FR"/>
              </w:rPr>
              <w:t>25€</w:t>
            </w:r>
          </w:p>
        </w:tc>
      </w:tr>
      <w:tr w:rsidR="00A43121" w:rsidRPr="002216DA" w14:paraId="0AFDAD18" w14:textId="77777777" w:rsidTr="002216DA">
        <w:tc>
          <w:tcPr>
            <w:tcW w:w="1555" w:type="dxa"/>
          </w:tcPr>
          <w:p w14:paraId="1BD1A3A5" w14:textId="77777777" w:rsidR="00A43121" w:rsidRPr="002216DA" w:rsidRDefault="00A43121" w:rsidP="00A43121">
            <w:pPr>
              <w:jc w:val="both"/>
              <w:rPr>
                <w:lang w:val="fr-FR"/>
              </w:rPr>
            </w:pPr>
            <w:r w:rsidRPr="002216DA">
              <w:rPr>
                <w:lang w:val="fr-FR"/>
              </w:rPr>
              <w:t>IA-2A</w:t>
            </w:r>
          </w:p>
        </w:tc>
        <w:tc>
          <w:tcPr>
            <w:tcW w:w="5098" w:type="dxa"/>
          </w:tcPr>
          <w:p w14:paraId="547FC47C" w14:textId="77777777" w:rsidR="00A43121" w:rsidRPr="002216DA" w:rsidRDefault="00A43121" w:rsidP="00A43121">
            <w:pPr>
              <w:jc w:val="both"/>
              <w:rPr>
                <w:lang w:val="fr-FR"/>
              </w:rPr>
            </w:pPr>
            <w:r w:rsidRPr="002216DA">
              <w:rPr>
                <w:lang w:val="fr-FR"/>
              </w:rPr>
              <w:t>Hors nomenclature</w:t>
            </w:r>
          </w:p>
        </w:tc>
        <w:tc>
          <w:tcPr>
            <w:tcW w:w="2981" w:type="dxa"/>
          </w:tcPr>
          <w:p w14:paraId="44A1B731" w14:textId="77777777" w:rsidR="00A43121" w:rsidRPr="002216DA" w:rsidRDefault="00A43121" w:rsidP="00A43121">
            <w:pPr>
              <w:jc w:val="both"/>
              <w:rPr>
                <w:lang w:val="fr-FR"/>
              </w:rPr>
            </w:pPr>
            <w:r w:rsidRPr="002216DA">
              <w:rPr>
                <w:lang w:val="fr-FR"/>
              </w:rPr>
              <w:t>25€</w:t>
            </w:r>
          </w:p>
        </w:tc>
      </w:tr>
      <w:tr w:rsidR="00A43121" w:rsidRPr="002216DA" w14:paraId="182948CE" w14:textId="77777777" w:rsidTr="002216DA">
        <w:tc>
          <w:tcPr>
            <w:tcW w:w="1555" w:type="dxa"/>
          </w:tcPr>
          <w:p w14:paraId="40E62079" w14:textId="77777777" w:rsidR="00A43121" w:rsidRPr="002216DA" w:rsidRDefault="00A43121" w:rsidP="00A43121">
            <w:pPr>
              <w:jc w:val="both"/>
              <w:rPr>
                <w:lang w:val="fr-FR"/>
              </w:rPr>
            </w:pPr>
            <w:r w:rsidRPr="002216DA">
              <w:rPr>
                <w:lang w:val="fr-FR"/>
              </w:rPr>
              <w:t>ZnT8A</w:t>
            </w:r>
          </w:p>
        </w:tc>
        <w:tc>
          <w:tcPr>
            <w:tcW w:w="5098" w:type="dxa"/>
          </w:tcPr>
          <w:p w14:paraId="5778A8FB" w14:textId="77777777" w:rsidR="00A43121" w:rsidRPr="002216DA" w:rsidRDefault="00A43121" w:rsidP="00A43121">
            <w:pPr>
              <w:jc w:val="both"/>
              <w:rPr>
                <w:lang w:val="fr-FR"/>
              </w:rPr>
            </w:pPr>
            <w:r w:rsidRPr="002216DA">
              <w:rPr>
                <w:lang w:val="fr-FR"/>
              </w:rPr>
              <w:t>Hors nomenclature</w:t>
            </w:r>
          </w:p>
        </w:tc>
        <w:tc>
          <w:tcPr>
            <w:tcW w:w="2981" w:type="dxa"/>
          </w:tcPr>
          <w:p w14:paraId="4AF79C05" w14:textId="77777777" w:rsidR="00A43121" w:rsidRPr="002216DA" w:rsidRDefault="00A43121" w:rsidP="00A43121">
            <w:pPr>
              <w:jc w:val="both"/>
              <w:rPr>
                <w:lang w:val="fr-FR"/>
              </w:rPr>
            </w:pPr>
            <w:r w:rsidRPr="002216DA">
              <w:rPr>
                <w:lang w:val="fr-FR"/>
              </w:rPr>
              <w:t>25€</w:t>
            </w:r>
          </w:p>
        </w:tc>
      </w:tr>
      <w:tr w:rsidR="00274C7D" w:rsidRPr="002216DA" w14:paraId="6F2243E7" w14:textId="77777777" w:rsidTr="002216DA">
        <w:tc>
          <w:tcPr>
            <w:tcW w:w="1555" w:type="dxa"/>
          </w:tcPr>
          <w:p w14:paraId="02DACA47" w14:textId="77777777" w:rsidR="00274C7D" w:rsidRPr="002216DA" w:rsidRDefault="00274C7D" w:rsidP="00A86567">
            <w:pPr>
              <w:jc w:val="both"/>
              <w:rPr>
                <w:lang w:val="fr-FR"/>
              </w:rPr>
            </w:pPr>
            <w:r w:rsidRPr="002216DA">
              <w:rPr>
                <w:lang w:val="fr-FR"/>
              </w:rPr>
              <w:t>C-peptide</w:t>
            </w:r>
          </w:p>
        </w:tc>
        <w:tc>
          <w:tcPr>
            <w:tcW w:w="5098" w:type="dxa"/>
          </w:tcPr>
          <w:p w14:paraId="1E8EA531" w14:textId="77777777" w:rsidR="00274C7D" w:rsidRPr="002216DA" w:rsidRDefault="00A43121" w:rsidP="00A86567">
            <w:pPr>
              <w:jc w:val="both"/>
              <w:rPr>
                <w:lang w:val="fr-FR"/>
              </w:rPr>
            </w:pPr>
            <w:r w:rsidRPr="002216DA">
              <w:rPr>
                <w:rFonts w:ascii="Calibri" w:hAnsi="Calibri" w:cs="Calibri"/>
                <w:color w:val="000000"/>
                <w:lang w:val="fr-FR"/>
              </w:rPr>
              <w:t xml:space="preserve">Règles de cumul </w:t>
            </w:r>
            <w:r w:rsidR="00274C7D" w:rsidRPr="002216DA">
              <w:rPr>
                <w:lang w:val="fr-FR"/>
              </w:rPr>
              <w:t>322 e</w:t>
            </w:r>
            <w:r w:rsidRPr="002216DA">
              <w:rPr>
                <w:lang w:val="fr-FR"/>
              </w:rPr>
              <w:t>t</w:t>
            </w:r>
            <w:r w:rsidR="00274C7D" w:rsidRPr="002216DA">
              <w:rPr>
                <w:lang w:val="fr-FR"/>
              </w:rPr>
              <w:t xml:space="preserve"> 89</w:t>
            </w:r>
          </w:p>
          <w:p w14:paraId="61640066" w14:textId="77777777" w:rsidR="00274C7D" w:rsidRPr="002216DA" w:rsidRDefault="00A43121" w:rsidP="00A43121">
            <w:pPr>
              <w:rPr>
                <w:lang w:val="fr-FR"/>
              </w:rPr>
            </w:pPr>
            <w:r w:rsidRPr="002216DA">
              <w:rPr>
                <w:lang w:val="fr-FR"/>
              </w:rPr>
              <w:t>Lorsque plus de cinq dosages d'une hormone sont effectués lors d'une épreuve de stimulation ou d'inhibition ou lors d'une évaluation d'un cycle nycthéméral, maximum cinq dosages peuvent être portés en compte à l'AMI.</w:t>
            </w:r>
          </w:p>
        </w:tc>
        <w:tc>
          <w:tcPr>
            <w:tcW w:w="2981" w:type="dxa"/>
          </w:tcPr>
          <w:p w14:paraId="5470315B" w14:textId="77777777" w:rsidR="00274C7D" w:rsidRPr="002216DA" w:rsidRDefault="00274C7D" w:rsidP="00A86567">
            <w:pPr>
              <w:jc w:val="both"/>
              <w:rPr>
                <w:lang w:val="fr-FR"/>
              </w:rPr>
            </w:pPr>
            <w:r w:rsidRPr="002216DA">
              <w:rPr>
                <w:lang w:val="fr-FR"/>
              </w:rPr>
              <w:t>559134 - 559145</w:t>
            </w:r>
          </w:p>
        </w:tc>
      </w:tr>
      <w:tr w:rsidR="00274C7D" w:rsidRPr="002216DA" w14:paraId="7556FEE6" w14:textId="77777777" w:rsidTr="002216DA">
        <w:tc>
          <w:tcPr>
            <w:tcW w:w="1555" w:type="dxa"/>
          </w:tcPr>
          <w:p w14:paraId="1093D893" w14:textId="77777777" w:rsidR="00274C7D" w:rsidRPr="002216DA" w:rsidRDefault="00274C7D" w:rsidP="00A86567">
            <w:pPr>
              <w:jc w:val="both"/>
              <w:rPr>
                <w:lang w:val="fr-FR"/>
              </w:rPr>
            </w:pPr>
            <w:r w:rsidRPr="002216DA">
              <w:rPr>
                <w:lang w:val="fr-FR"/>
              </w:rPr>
              <w:t>Insuline</w:t>
            </w:r>
          </w:p>
        </w:tc>
        <w:tc>
          <w:tcPr>
            <w:tcW w:w="5098" w:type="dxa"/>
          </w:tcPr>
          <w:p w14:paraId="12E8495C" w14:textId="77777777" w:rsidR="00274C7D" w:rsidRPr="002216DA" w:rsidRDefault="00A43121" w:rsidP="00A86567">
            <w:pPr>
              <w:jc w:val="both"/>
              <w:rPr>
                <w:lang w:val="fr-FR"/>
              </w:rPr>
            </w:pPr>
            <w:r w:rsidRPr="002216DA">
              <w:rPr>
                <w:rFonts w:ascii="Calibri" w:hAnsi="Calibri" w:cs="Calibri"/>
                <w:color w:val="000000"/>
                <w:lang w:val="fr-FR"/>
              </w:rPr>
              <w:t xml:space="preserve">Règles de cumul </w:t>
            </w:r>
            <w:r w:rsidR="00274C7D" w:rsidRPr="002216DA">
              <w:rPr>
                <w:lang w:val="fr-FR"/>
              </w:rPr>
              <w:t>221 e</w:t>
            </w:r>
            <w:r w:rsidRPr="002216DA">
              <w:rPr>
                <w:lang w:val="fr-FR"/>
              </w:rPr>
              <w:t>t</w:t>
            </w:r>
            <w:r w:rsidR="00274C7D" w:rsidRPr="002216DA">
              <w:rPr>
                <w:lang w:val="fr-FR"/>
              </w:rPr>
              <w:t xml:space="preserve"> 322</w:t>
            </w:r>
          </w:p>
          <w:p w14:paraId="74530C9C" w14:textId="77777777" w:rsidR="00274C7D" w:rsidRPr="002216DA" w:rsidRDefault="00A43121" w:rsidP="00A43121">
            <w:pPr>
              <w:rPr>
                <w:lang w:val="fr-FR"/>
              </w:rPr>
            </w:pPr>
            <w:r w:rsidRPr="002216DA">
              <w:rPr>
                <w:lang w:val="fr-FR"/>
              </w:rPr>
              <w:t>Lorsque plus de cinq dosages d'une hormone sont effectués lors d'une épreuve de stimulation ou d'inhibition ou lors d'une évaluation d'un cycle nycthéméral, maximum cinq dosages peuvent être portés en compte à l'AMI.</w:t>
            </w:r>
          </w:p>
        </w:tc>
        <w:tc>
          <w:tcPr>
            <w:tcW w:w="2981" w:type="dxa"/>
          </w:tcPr>
          <w:p w14:paraId="3117B3BC" w14:textId="77777777" w:rsidR="00274C7D" w:rsidRPr="002216DA" w:rsidRDefault="00274C7D" w:rsidP="00A86567">
            <w:pPr>
              <w:jc w:val="both"/>
              <w:rPr>
                <w:lang w:val="fr-FR"/>
              </w:rPr>
            </w:pPr>
            <w:r w:rsidRPr="002216DA">
              <w:rPr>
                <w:lang w:val="fr-FR"/>
              </w:rPr>
              <w:t>546092 - 546103</w:t>
            </w:r>
          </w:p>
        </w:tc>
      </w:tr>
      <w:tr w:rsidR="00274C7D" w:rsidRPr="002216DA" w14:paraId="017D2A30" w14:textId="77777777" w:rsidTr="002216DA">
        <w:tc>
          <w:tcPr>
            <w:tcW w:w="1555" w:type="dxa"/>
          </w:tcPr>
          <w:p w14:paraId="257DA1F6" w14:textId="77777777" w:rsidR="00274C7D" w:rsidRPr="002216DA" w:rsidRDefault="00274C7D" w:rsidP="00A86567">
            <w:pPr>
              <w:jc w:val="both"/>
              <w:rPr>
                <w:lang w:val="fr-FR"/>
              </w:rPr>
            </w:pPr>
            <w:r w:rsidRPr="002216DA">
              <w:rPr>
                <w:lang w:val="fr-FR"/>
              </w:rPr>
              <w:t>Pro-insuline</w:t>
            </w:r>
          </w:p>
        </w:tc>
        <w:tc>
          <w:tcPr>
            <w:tcW w:w="5098" w:type="dxa"/>
          </w:tcPr>
          <w:p w14:paraId="5FBB1D20" w14:textId="77777777" w:rsidR="00274C7D" w:rsidRPr="002216DA" w:rsidRDefault="00A43121" w:rsidP="00A86567">
            <w:pPr>
              <w:jc w:val="both"/>
              <w:rPr>
                <w:lang w:val="fr-FR"/>
              </w:rPr>
            </w:pPr>
            <w:r w:rsidRPr="002216DA">
              <w:rPr>
                <w:rFonts w:ascii="Calibri" w:hAnsi="Calibri" w:cs="Calibri"/>
                <w:color w:val="000000"/>
                <w:lang w:val="fr-FR"/>
              </w:rPr>
              <w:t>Règle diagnostique</w:t>
            </w:r>
            <w:r w:rsidR="00274C7D" w:rsidRPr="002216DA">
              <w:rPr>
                <w:lang w:val="fr-FR"/>
              </w:rPr>
              <w:t xml:space="preserve"> 146</w:t>
            </w:r>
          </w:p>
          <w:p w14:paraId="28594EC3" w14:textId="77777777" w:rsidR="00274C7D" w:rsidRPr="002216DA" w:rsidRDefault="00A43121" w:rsidP="00A86567">
            <w:pPr>
              <w:rPr>
                <w:lang w:val="fr-FR"/>
              </w:rPr>
            </w:pPr>
            <w:r w:rsidRPr="002216DA">
              <w:rPr>
                <w:lang w:val="fr-FR"/>
              </w:rPr>
              <w:t xml:space="preserve">La prestation 545075-545086 peut uniquement être portée en compte si elle est prescrite par un médecin spécialiste dans l'une des disciplines relevant de la pathologie interne, en cas d'hypoglycémie et en vue du diagnostic d'un </w:t>
            </w:r>
            <w:proofErr w:type="spellStart"/>
            <w:r w:rsidRPr="002216DA">
              <w:rPr>
                <w:lang w:val="fr-FR"/>
              </w:rPr>
              <w:t>insulinome</w:t>
            </w:r>
            <w:proofErr w:type="spellEnd"/>
            <w:r w:rsidRPr="002216DA">
              <w:rPr>
                <w:lang w:val="fr-FR"/>
              </w:rPr>
              <w:t xml:space="preserve"> et maximum 5 fois par année civile.</w:t>
            </w:r>
          </w:p>
        </w:tc>
        <w:tc>
          <w:tcPr>
            <w:tcW w:w="2981" w:type="dxa"/>
          </w:tcPr>
          <w:p w14:paraId="052F452B" w14:textId="77777777" w:rsidR="00274C7D" w:rsidRPr="002216DA" w:rsidRDefault="00274C7D" w:rsidP="00A86567">
            <w:pPr>
              <w:jc w:val="both"/>
              <w:rPr>
                <w:lang w:val="fr-FR"/>
              </w:rPr>
            </w:pPr>
            <w:r w:rsidRPr="002216DA">
              <w:rPr>
                <w:lang w:val="fr-FR"/>
              </w:rPr>
              <w:t>545075 - 545086</w:t>
            </w:r>
          </w:p>
        </w:tc>
      </w:tr>
      <w:tr w:rsidR="00A43121" w:rsidRPr="002216DA" w14:paraId="43C390A7" w14:textId="77777777" w:rsidTr="002216DA">
        <w:tc>
          <w:tcPr>
            <w:tcW w:w="1555" w:type="dxa"/>
          </w:tcPr>
          <w:p w14:paraId="39C82351" w14:textId="77777777" w:rsidR="00A43121" w:rsidRPr="002216DA" w:rsidRDefault="00A43121" w:rsidP="00A43121">
            <w:pPr>
              <w:jc w:val="both"/>
              <w:rPr>
                <w:lang w:val="fr-FR"/>
              </w:rPr>
            </w:pPr>
            <w:r w:rsidRPr="002216DA">
              <w:rPr>
                <w:lang w:val="fr-FR"/>
              </w:rPr>
              <w:t>Pro-insuline</w:t>
            </w:r>
          </w:p>
        </w:tc>
        <w:tc>
          <w:tcPr>
            <w:tcW w:w="5098" w:type="dxa"/>
          </w:tcPr>
          <w:p w14:paraId="4DFFB6E3" w14:textId="77777777" w:rsidR="00A43121" w:rsidRPr="002216DA" w:rsidRDefault="00A43121" w:rsidP="00A43121">
            <w:pPr>
              <w:jc w:val="both"/>
              <w:rPr>
                <w:lang w:val="fr-FR"/>
              </w:rPr>
            </w:pPr>
            <w:r w:rsidRPr="002216DA">
              <w:rPr>
                <w:lang w:val="fr-FR"/>
              </w:rPr>
              <w:t>Hors nomenclature</w:t>
            </w:r>
          </w:p>
        </w:tc>
        <w:tc>
          <w:tcPr>
            <w:tcW w:w="2981" w:type="dxa"/>
          </w:tcPr>
          <w:p w14:paraId="66180D50" w14:textId="77777777" w:rsidR="00A43121" w:rsidRPr="002216DA" w:rsidRDefault="00A43121" w:rsidP="00A43121">
            <w:pPr>
              <w:jc w:val="both"/>
              <w:rPr>
                <w:lang w:val="fr-FR"/>
              </w:rPr>
            </w:pPr>
            <w:r w:rsidRPr="002216DA">
              <w:rPr>
                <w:lang w:val="fr-FR"/>
              </w:rPr>
              <w:t>18,75 €</w:t>
            </w:r>
          </w:p>
        </w:tc>
      </w:tr>
    </w:tbl>
    <w:p w14:paraId="4091214C" w14:textId="77777777" w:rsidR="00274C7D" w:rsidRDefault="00274C7D" w:rsidP="00FA158C">
      <w:pPr>
        <w:jc w:val="both"/>
        <w:rPr>
          <w:lang w:val="fr-FR"/>
        </w:rPr>
      </w:pPr>
    </w:p>
    <w:p w14:paraId="1AB73727" w14:textId="77777777" w:rsidR="002216DA" w:rsidRPr="002216DA" w:rsidRDefault="002216DA" w:rsidP="002216DA">
      <w:pPr>
        <w:jc w:val="both"/>
        <w:rPr>
          <w:lang w:val="fr-FR"/>
        </w:rPr>
      </w:pPr>
      <w:r w:rsidRPr="002216DA">
        <w:rPr>
          <w:lang w:val="fr-FR"/>
        </w:rPr>
        <w:t xml:space="preserve">Puis-je vous demander d'informer </w:t>
      </w:r>
      <w:r w:rsidR="003B6B2F">
        <w:rPr>
          <w:lang w:val="fr-FR"/>
        </w:rPr>
        <w:t xml:space="preserve">vos </w:t>
      </w:r>
      <w:r w:rsidRPr="002216DA">
        <w:rPr>
          <w:lang w:val="fr-FR"/>
        </w:rPr>
        <w:t>médecins demandeurs de ces changements ?</w:t>
      </w:r>
    </w:p>
    <w:p w14:paraId="01CBA525" w14:textId="77777777" w:rsidR="002216DA" w:rsidRPr="002216DA" w:rsidRDefault="002216DA" w:rsidP="002216DA">
      <w:pPr>
        <w:jc w:val="both"/>
        <w:rPr>
          <w:lang w:val="fr-FR"/>
        </w:rPr>
      </w:pPr>
    </w:p>
    <w:p w14:paraId="7C8B24F9" w14:textId="77777777" w:rsidR="002216DA" w:rsidRPr="002216DA" w:rsidRDefault="002216DA" w:rsidP="002216DA">
      <w:pPr>
        <w:jc w:val="both"/>
        <w:rPr>
          <w:lang w:val="fr-FR"/>
        </w:rPr>
      </w:pPr>
      <w:r w:rsidRPr="002216DA">
        <w:rPr>
          <w:lang w:val="fr-FR"/>
        </w:rPr>
        <w:t>Pour les questions relatives aux études et à la BDR, veuillez contacter le Pr</w:t>
      </w:r>
      <w:r w:rsidR="004E6665">
        <w:rPr>
          <w:lang w:val="fr-FR"/>
        </w:rPr>
        <w:t>of Bart</w:t>
      </w:r>
      <w:r w:rsidRPr="002216DA">
        <w:rPr>
          <w:lang w:val="fr-FR"/>
        </w:rPr>
        <w:t xml:space="preserve"> Keymeulen par mail à bart.keymeulen@uzbrussel.be ou par téléphone au 02 474 90</w:t>
      </w:r>
      <w:r w:rsidR="004E6665">
        <w:rPr>
          <w:lang w:val="fr-FR"/>
        </w:rPr>
        <w:t xml:space="preserve"> </w:t>
      </w:r>
      <w:r w:rsidRPr="002216DA">
        <w:rPr>
          <w:lang w:val="fr-FR"/>
        </w:rPr>
        <w:t>34. Pour les questions relatives à la sous-traitance et à la facturation, veuillez contacter le Prof Ilse Weets par mail à ilse.weets@uzbrussel.be ou par téléphone au 02 477 50 30.</w:t>
      </w:r>
    </w:p>
    <w:p w14:paraId="01166EEE" w14:textId="77777777" w:rsidR="002216DA" w:rsidRPr="002216DA" w:rsidRDefault="002216DA" w:rsidP="002216DA">
      <w:pPr>
        <w:jc w:val="both"/>
        <w:rPr>
          <w:lang w:val="fr-FR"/>
        </w:rPr>
      </w:pPr>
    </w:p>
    <w:p w14:paraId="54AA5E6D" w14:textId="77777777" w:rsidR="002216DA" w:rsidRPr="002216DA" w:rsidRDefault="002216DA" w:rsidP="002216DA">
      <w:pPr>
        <w:jc w:val="both"/>
        <w:rPr>
          <w:lang w:val="fr-FR"/>
        </w:rPr>
      </w:pPr>
      <w:r w:rsidRPr="002216DA">
        <w:rPr>
          <w:lang w:val="fr-FR"/>
        </w:rPr>
        <w:t>Je vous prie d'agréer, Madame, Monsieur, l'expression de mes salutations distinguées,</w:t>
      </w:r>
    </w:p>
    <w:p w14:paraId="26F55DC2" w14:textId="77777777" w:rsidR="002216DA" w:rsidRPr="00FA158C" w:rsidRDefault="002216DA" w:rsidP="002216DA">
      <w:pPr>
        <w:jc w:val="both"/>
        <w:rPr>
          <w:lang w:val="fr-FR"/>
        </w:rPr>
      </w:pPr>
      <w:r w:rsidRPr="002216DA">
        <w:rPr>
          <w:lang w:val="fr-FR"/>
        </w:rPr>
        <w:t>Prof</w:t>
      </w:r>
      <w:r w:rsidR="00BD31C6">
        <w:rPr>
          <w:lang w:val="fr-FR"/>
        </w:rPr>
        <w:t>. dr.</w:t>
      </w:r>
      <w:r w:rsidRPr="002216DA">
        <w:rPr>
          <w:lang w:val="fr-FR"/>
        </w:rPr>
        <w:t xml:space="preserve"> Ilse Weets</w:t>
      </w:r>
    </w:p>
    <w:sectPr w:rsidR="002216DA" w:rsidRPr="00FA158C" w:rsidSect="00A4312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1F3"/>
    <w:rsid w:val="00001766"/>
    <w:rsid w:val="000A7066"/>
    <w:rsid w:val="000E4DE7"/>
    <w:rsid w:val="000E72D2"/>
    <w:rsid w:val="00124D31"/>
    <w:rsid w:val="001313C2"/>
    <w:rsid w:val="001D6CCD"/>
    <w:rsid w:val="002216DA"/>
    <w:rsid w:val="00257531"/>
    <w:rsid w:val="00274C7D"/>
    <w:rsid w:val="003473E6"/>
    <w:rsid w:val="003B6B2F"/>
    <w:rsid w:val="004170A4"/>
    <w:rsid w:val="004E6665"/>
    <w:rsid w:val="00542C14"/>
    <w:rsid w:val="00544302"/>
    <w:rsid w:val="00650457"/>
    <w:rsid w:val="007367BD"/>
    <w:rsid w:val="00755521"/>
    <w:rsid w:val="007641F3"/>
    <w:rsid w:val="007C34DF"/>
    <w:rsid w:val="007C5AC2"/>
    <w:rsid w:val="007C7E81"/>
    <w:rsid w:val="007F04CE"/>
    <w:rsid w:val="008225D0"/>
    <w:rsid w:val="008C2496"/>
    <w:rsid w:val="00953489"/>
    <w:rsid w:val="009917F0"/>
    <w:rsid w:val="00996BF9"/>
    <w:rsid w:val="00A43121"/>
    <w:rsid w:val="00B87812"/>
    <w:rsid w:val="00BD31C6"/>
    <w:rsid w:val="00C03BAA"/>
    <w:rsid w:val="00CB08AE"/>
    <w:rsid w:val="00CF0722"/>
    <w:rsid w:val="00D04C99"/>
    <w:rsid w:val="00D5258D"/>
    <w:rsid w:val="00DC051D"/>
    <w:rsid w:val="00DC157F"/>
    <w:rsid w:val="00E46F76"/>
    <w:rsid w:val="00EE0814"/>
    <w:rsid w:val="00EF0CEB"/>
    <w:rsid w:val="00F513B3"/>
    <w:rsid w:val="00FA158C"/>
    <w:rsid w:val="00FC1BF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807E3"/>
  <w15:chartTrackingRefBased/>
  <w15:docId w15:val="{0560B168-FB65-4241-B4CF-76870372D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F513B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610497">
      <w:bodyDiv w:val="1"/>
      <w:marLeft w:val="0"/>
      <w:marRight w:val="0"/>
      <w:marTop w:val="0"/>
      <w:marBottom w:val="0"/>
      <w:divBdr>
        <w:top w:val="none" w:sz="0" w:space="0" w:color="auto"/>
        <w:left w:val="none" w:sz="0" w:space="0" w:color="auto"/>
        <w:bottom w:val="none" w:sz="0" w:space="0" w:color="auto"/>
        <w:right w:val="none" w:sz="0" w:space="0" w:color="auto"/>
      </w:divBdr>
    </w:div>
    <w:div w:id="140675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EA6AE-9228-44DC-B5F1-7E70BCBCA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1643</Words>
  <Characters>9038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UZ Brussel</Company>
  <LinksUpToDate>false</LinksUpToDate>
  <CharactersWithSpaces>10660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Ilse Weets</dc:creator>
  <cp:keywords/>
  <dc:description/>
  <cp:lastModifiedBy>Gheysens Lut</cp:lastModifiedBy>
  <cp:revision>2</cp:revision>
  <dcterms:created xsi:type="dcterms:W3CDTF">2023-10-05T16:08:00Z</dcterms:created>
  <dcterms:modified xsi:type="dcterms:W3CDTF">2023-10-05T16:08:00Z</dcterms:modified>
</cp:coreProperties>
</file>